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sz w:val="28"/>
        </w:rPr>
      </w:pPr>
      <w:r>
        <w:rPr>
          <w:rFonts w:ascii="Times New Roman" w:hAnsi="Times New Roman" w:eastAsia="黑体" w:cs="Times New Roman"/>
          <w:color w:val="000000"/>
          <w:sz w:val="28"/>
        </w:rPr>
        <w:t>灵丘县十七届人大</w:t>
      </w:r>
    </w:p>
    <w:p>
      <w:pPr>
        <w:rPr>
          <w:rFonts w:ascii="Times New Roman" w:hAnsi="Times New Roman" w:eastAsia="黑体" w:cs="Times New Roman"/>
          <w:color w:val="000000"/>
          <w:sz w:val="28"/>
        </w:rPr>
      </w:pPr>
      <w:r>
        <w:rPr>
          <w:rFonts w:ascii="Times New Roman" w:hAnsi="Times New Roman" w:eastAsia="黑体" w:cs="Times New Roman"/>
          <w:color w:val="000000"/>
          <w:sz w:val="28"/>
        </w:rPr>
        <w:t>一次会议文件</w:t>
      </w:r>
      <w:r>
        <w:rPr>
          <w:rFonts w:ascii="黑体" w:hAnsi="黑体" w:eastAsia="黑体" w:cs="Times New Roman"/>
          <w:color w:val="000000"/>
          <w:sz w:val="28"/>
        </w:rPr>
        <w:t>（22）</w:t>
      </w:r>
    </w:p>
    <w:p>
      <w:pPr>
        <w:rPr>
          <w:rFonts w:ascii="Times New Roman" w:hAnsi="Times New Roman" w:eastAsia="黑体" w:cs="Times New Roman"/>
          <w:color w:val="000000"/>
          <w:sz w:val="40"/>
          <w:szCs w:val="44"/>
        </w:rPr>
      </w:pPr>
    </w:p>
    <w:p>
      <w:pPr>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灵丘县人民检察院工作报告</w:t>
      </w:r>
    </w:p>
    <w:p>
      <w:pPr>
        <w:jc w:val="center"/>
        <w:rPr>
          <w:rFonts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 xml:space="preserve"> </w:t>
      </w:r>
    </w:p>
    <w:p>
      <w:pPr>
        <w:jc w:val="center"/>
        <w:rPr>
          <w:rFonts w:ascii="Times New Roman" w:hAnsi="Times New Roman" w:eastAsia="楷体_GB2312" w:cs="Times New Roman"/>
          <w:sz w:val="28"/>
          <w:szCs w:val="28"/>
        </w:rPr>
      </w:pPr>
      <w:r>
        <w:rPr>
          <w:rFonts w:ascii="Times New Roman" w:hAnsi="Times New Roman" w:eastAsia="楷体_GB2312" w:cs="Times New Roman"/>
          <w:sz w:val="28"/>
          <w:szCs w:val="28"/>
        </w:rPr>
        <w:t>——2021年4月9日在灵丘县第十七届人民代表大会第一次会议上</w:t>
      </w:r>
    </w:p>
    <w:p>
      <w:pPr>
        <w:snapToGrid w:val="0"/>
        <w:spacing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灵丘县人民检察院代检察长</w:t>
      </w:r>
      <w:r>
        <w:rPr>
          <w:rFonts w:ascii="Times New Roman" w:hAnsi="Times New Roman" w:eastAsia="楷体_GB2312" w:cs="Times New Roman"/>
          <w:kern w:val="0"/>
          <w:sz w:val="32"/>
          <w:szCs w:val="32"/>
        </w:rPr>
        <w:t xml:space="preserve">   宫云涵</w:t>
      </w:r>
      <w:r>
        <w:rPr>
          <w:rFonts w:ascii="Times New Roman" w:hAnsi="Times New Roman" w:eastAsia="楷体_GB2312" w:cs="Times New Roman"/>
          <w:sz w:val="32"/>
          <w:szCs w:val="32"/>
        </w:rPr>
        <w:t xml:space="preserve"> </w:t>
      </w:r>
    </w:p>
    <w:p>
      <w:pPr>
        <w:snapToGrid w:val="0"/>
        <w:spacing w:line="660" w:lineRule="exact"/>
        <w:jc w:val="center"/>
        <w:rPr>
          <w:rFonts w:ascii="Times New Roman" w:hAnsi="Times New Roman" w:eastAsia="仿宋_GB2312" w:cs="Times New Roman"/>
          <w:sz w:val="32"/>
          <w:szCs w:val="32"/>
        </w:rPr>
      </w:pPr>
    </w:p>
    <w:p>
      <w:pPr>
        <w:spacing w:line="60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各位代表：</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现在，我代表灵丘县人民检察院向大会报告工作，请予审议，并请县政协委员和列席人员提出意见。</w:t>
      </w:r>
    </w:p>
    <w:p>
      <w:pPr>
        <w:spacing w:beforeLines="50" w:afterLines="50" w:line="600" w:lineRule="exact"/>
        <w:jc w:val="center"/>
        <w:rPr>
          <w:rFonts w:ascii="Times New Roman" w:hAnsi="Times New Roman" w:cs="Times New Roman"/>
        </w:rPr>
      </w:pPr>
      <w:r>
        <w:rPr>
          <w:rFonts w:ascii="Times New Roman" w:hAnsi="Times New Roman" w:eastAsia="黑体" w:cs="Times New Roman"/>
          <w:sz w:val="32"/>
          <w:szCs w:val="32"/>
        </w:rPr>
        <w:t>过去五年工作回顾</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过去的五年，灵丘县人民检察院在县委和市人民检察院的坚强领导下，在县人大及其常委会的有力监督下，在县政府、县政协和社会各界的关心支持下，坚持以习近平新时代中国特色社会主义思想为指引，认真贯彻党的十九大和十九届二中、三中、四中、五中全会精神、习近平总书记视察山西重要讲话精神，围绕省、市检察工作整体思路和县委县政府工作部署，以司法办案为中心，充分履行法律监督职能，为灵丘县经济社会发展提供有力的司法保障。</w:t>
      </w:r>
    </w:p>
    <w:p>
      <w:pPr>
        <w:spacing w:line="600" w:lineRule="exact"/>
        <w:ind w:firstLine="640" w:firstLineChars="200"/>
        <w:rPr>
          <w:rFonts w:ascii="Times New Roman" w:hAnsi="Times New Roman" w:eastAsia="黑体" w:cs="Times New Roman"/>
          <w:sz w:val="32"/>
          <w:szCs w:val="32"/>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一、政治立检</w:t>
      </w:r>
      <w:r>
        <w:rPr>
          <w:rFonts w:hint="eastAsia" w:ascii="Times New Roman" w:hAnsi="Times New Roman" w:eastAsia="黑体" w:cs="Times New Roman"/>
          <w:sz w:val="32"/>
          <w:szCs w:val="32"/>
        </w:rPr>
        <w:t>，</w:t>
      </w:r>
      <w:r>
        <w:rPr>
          <w:rFonts w:ascii="Times New Roman" w:hAnsi="Times New Roman" w:eastAsia="黑体" w:cs="Times New Roman"/>
          <w:sz w:val="32"/>
          <w:szCs w:val="32"/>
        </w:rPr>
        <w:t>从严治检，坚持党对检察工作的绝对领导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（一）加强党的政治建设。</w:t>
      </w:r>
      <w:r>
        <w:rPr>
          <w:rFonts w:ascii="Times New Roman" w:hAnsi="Times New Roman" w:eastAsia="仿宋_GB2312" w:cs="Times New Roman"/>
          <w:sz w:val="32"/>
          <w:szCs w:val="32"/>
        </w:rPr>
        <w:t>我院围绕县委对加强党的政治建设工作的要求，以深化党建工作成效为切入点，积极开展“两学一做”、“不忘初心，牢记使命”以及“改革创新，奋发有为”大讨论等专题教育活动，深化理论学习成效；充分发挥党支部对党员的教育引导作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创新主题党日活动形式，将党的十九大和十九届二中、三中、四中、五中全会精神以及习近平总书记视察山西重要讲话精神和“三篇光辉文献”等内容作为重点在全院进行学习，为检察工作的开展筑牢思想根基。五年来,我院机关党支部组织开展主题党日活动60余次，领导干部讲党课30余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编写、发放学习资料千余册，把讲政治的要求真正落到实处。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（二）创新意识形态工作。</w:t>
      </w:r>
      <w:r>
        <w:rPr>
          <w:rFonts w:ascii="Times New Roman" w:hAnsi="Times New Roman" w:eastAsia="仿宋_GB2312" w:cs="Times New Roman"/>
          <w:sz w:val="32"/>
          <w:szCs w:val="32"/>
        </w:rPr>
        <w:t>我院始终把意识形态工作摆在重要位置，严格落实领导班子意识形态工作的主体责任。重点加强网络宣传阵地建设，聚焦社会群众关切的领域以及重点检察工作进行宣传，不断创新宣传方式、有效提升宣传质量。五年来，我院新媒体原创发文230余篇，其中50余篇文章被《山西法制报》、正义网以及省检察院等转发，宣传质效稳步提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（三）坚持从严管党治检。</w:t>
      </w:r>
      <w:r>
        <w:rPr>
          <w:rFonts w:ascii="Times New Roman" w:hAnsi="Times New Roman" w:eastAsia="仿宋_GB2312" w:cs="Times New Roman"/>
          <w:sz w:val="32"/>
          <w:szCs w:val="32"/>
        </w:rPr>
        <w:t>我院制定并细化本院全面从严治党工作方案和责任清单，明确责任分工，压实压细主体责任，严格落实“一岗双责”；加强对干警“八小时”内外的监督管理，突出日常警示教育，切实把从严治党各项任务落到实处，让干警做到心有所畏、言有所戒、行有所止；认真贯彻落实“三个规定”要求，密切关注司法办案环节的关键点和风险点，进一步规范司法办案行为，真正把廉洁从检、公正司法的要求践行到检察办案的实际当中。</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（四）自觉主动接受监督。</w:t>
      </w:r>
      <w:r>
        <w:rPr>
          <w:rFonts w:ascii="Times New Roman" w:hAnsi="Times New Roman" w:eastAsia="仿宋_GB2312" w:cs="Times New Roman"/>
          <w:sz w:val="32"/>
          <w:szCs w:val="32"/>
        </w:rPr>
        <w:t>我院以提升检察机关司法公信力为着眼点，主动接受人大、政协及社会各界对检察机关和检察工作的监督。过去五年中，我院就公益诉讼、扫黑除恶专项斗争、国家司法救助以及认罪认罚从宽制度适用等检察重点工作向人大常委会进行了汇报，主动邀请人大代表、政协委员参加检察工作座谈会、听证会以及检察开放日等活动20余次，在接受监督中更好履行检察职能。</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二、凝心聚力，主动作为，服务保障全县发展大局</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（一）积极投身疫情防控工作。</w:t>
      </w:r>
      <w:bookmarkStart w:id="0" w:name="_GoBack"/>
      <w:bookmarkEnd w:id="0"/>
      <w:r>
        <w:rPr>
          <w:rFonts w:ascii="Times New Roman" w:hAnsi="Times New Roman" w:eastAsia="仿宋_GB2312" w:cs="Times New Roman"/>
          <w:sz w:val="32"/>
          <w:szCs w:val="32"/>
        </w:rPr>
        <w:t>2020年初,面对汹涌来袭的新型冠状病毒肺炎疫情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我院坚决贯彻落实县委和市院疫情防控工作部署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充分发挥党支部战斗堡垒作用和党员先锋模范作用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组织发动26名党员干警冲锋到抗疫一线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积极协助参与铁路社区500余户居民的疫情排查、防控宣传等志愿服务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组织干警进行爱心捐款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为全县疫情防控工作贡献检察力量。</w:t>
      </w:r>
    </w:p>
    <w:p>
      <w:pPr>
        <w:spacing w:line="600" w:lineRule="exact"/>
        <w:ind w:firstLine="640" w:firstLineChars="200"/>
        <w:rPr>
          <w:rFonts w:ascii="Times New Roman" w:hAnsi="Times New Roman" w:eastAsia="仿宋_GB2312" w:cs="Times New Roman"/>
        </w:rPr>
      </w:pPr>
      <w:r>
        <w:rPr>
          <w:rFonts w:ascii="Times New Roman" w:hAnsi="Times New Roman" w:eastAsia="楷体_GB2312" w:cs="Times New Roman"/>
          <w:sz w:val="32"/>
          <w:szCs w:val="32"/>
        </w:rPr>
        <w:t>（二）助力全县脱贫攻坚。</w:t>
      </w:r>
      <w:r>
        <w:rPr>
          <w:rFonts w:ascii="Times New Roman" w:hAnsi="Times New Roman" w:eastAsia="仿宋_GB2312" w:cs="Times New Roman"/>
          <w:sz w:val="32"/>
          <w:szCs w:val="32"/>
        </w:rPr>
        <w:t>我院按照县委、县政府扶贫工作统一部署，认真落实结对帮扶政策，抽调5名检察干警组成驻村工作队，深入白草湾、战刀会开展帮扶工作；组织全院干警先后多次进行帮扶，并为贫困村民捐款捐物，让群众切实感受到检察温暖；协助村委会及水务部门完成了白草湾村饮用水工程，解决了该村吃水难的问题；2020年是脱贫攻坚收官之年，我院驻村干警结合当地地理优势，制定了大力发展农牧业养殖的总体规划，切实保证脱贫成效的长期性、稳定性，为打赢脱贫攻坚战贡献检察力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（三）决战决胜扫黑除恶。</w:t>
      </w:r>
      <w:r>
        <w:rPr>
          <w:rFonts w:ascii="Times New Roman" w:hAnsi="Times New Roman" w:eastAsia="仿宋_GB2312" w:cs="Times New Roman"/>
          <w:sz w:val="32"/>
          <w:szCs w:val="32"/>
        </w:rPr>
        <w:t>扫黑除恶专项斗争开展以来,我院主动担当、积极作为，切实增强工作责任感和紧迫感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依法履行检察职能。三年来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共计受理审查逮捕涉恶案件16件57人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批准逮捕14件55人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不批准逮捕2件2人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受理审查起诉涉恶案件15件61人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受理涉黑案件1件11人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提起公诉11件52人。追捕漏犯2人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追诉漏犯3人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提前介入17次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提出取证意见118条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发出纠正违法通知书7份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制发检察建议23份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改变案件定性9件34人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发现并移送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保护伞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线索3条、普通案件线索4条；认定黑恶案件涉案财产现金26.764万元、三轮车一辆。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（四）为企业发展提供坚实法律保障。</w:t>
      </w:r>
      <w:r>
        <w:rPr>
          <w:rFonts w:ascii="Times New Roman" w:hAnsi="Times New Roman" w:eastAsia="仿宋_GB2312" w:cs="Times New Roman"/>
          <w:sz w:val="32"/>
          <w:szCs w:val="32"/>
        </w:rPr>
        <w:t>我院围绕全县经济发展的新形势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持续深入开展优化营商环境、保护企业家合法权益专项活动；加强涉企案件办理质效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严格把握逮捕的必要性和起诉标准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切实抓好涉民营企业案件立案监督和羁押必要性审查专项活动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对把民营企业经济纠纷当做刑事案件处理的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坚决予以纠正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加强与民营企业的沟通联系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了解企业实际需求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为民营企业提供更加精准的法律服务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五年来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我院先后开展送法入企业、检察开放日以及走访调研等活动20余次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发放法律宣传材料300余份。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（五）加强对未成年人合法权益的保护。</w:t>
      </w:r>
      <w:r>
        <w:rPr>
          <w:rFonts w:ascii="Times New Roman" w:hAnsi="Times New Roman" w:eastAsia="仿宋_GB2312" w:cs="Times New Roman"/>
          <w:sz w:val="32"/>
          <w:szCs w:val="32"/>
        </w:rPr>
        <w:t>我院认真落实高检院“一号检察建议”相关工作要求，常态化开展“法治进校园 ”以及检察开放日活动，聚焦反对校园暴力、预防未成年人性侵等未成年人权益保护重点问题开展法律宣传工作。五年来，我院为全县10余所中小学、近2500名师生开设了法律课堂，有效提升了在校师生的法律意识；认真贯彻落实法治副校长制度，由我院班子成员、部门负责人和员额检察官担任全县11所学校的法治副校长，进一步加强与学校在未成年人保护方面的合作，充分彰显检察机关的社会责任担当。</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三、聚焦主责，深耕主业，充分履行检察机关职能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（一）做优刑事检察。</w:t>
      </w:r>
      <w:r>
        <w:rPr>
          <w:rFonts w:ascii="Times New Roman" w:hAnsi="Times New Roman" w:eastAsia="仿宋_GB2312" w:cs="Times New Roman"/>
          <w:sz w:val="32"/>
          <w:szCs w:val="32"/>
        </w:rPr>
        <w:t>我院以提升案件办理质效为出发点和落脚点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重点推进降低刑事“案</w:t>
      </w:r>
      <w:r>
        <w:rPr>
          <w:rFonts w:hint="eastAsia" w:ascii="仿宋_GB2312" w:hAnsi="仿宋" w:eastAsia="仿宋_GB2312" w:cs="仿宋"/>
          <w:b w:val="0"/>
          <w:bCs/>
          <w:sz w:val="32"/>
          <w:szCs w:val="32"/>
        </w:rPr>
        <w:t>-</w:t>
      </w:r>
      <w:r>
        <w:rPr>
          <w:rFonts w:ascii="Times New Roman" w:hAnsi="Times New Roman" w:eastAsia="仿宋_GB2312" w:cs="Times New Roman"/>
          <w:sz w:val="32"/>
          <w:szCs w:val="32"/>
        </w:rPr>
        <w:t>件比”、认罪认罚从宽制度适用等工作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切实加强案件办理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对故意杀人等严重暴力犯罪、“两抢一盗”多发性侵财犯罪、涉枪涉爆犯罪以及毒品犯罪等保持高压态势的同时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重点加强对电信网络犯罪、洗钱犯罪以及危害社会民生犯罪的打击力度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着力提升群众的安全感和满意度。五年来，我院共依法批准逮捕各类刑事犯罪案件328件485人、提起公诉337件530人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rPr>
        <w:t>批准逮</w:t>
      </w:r>
      <w:r>
        <w:rPr>
          <w:rFonts w:ascii="Times New Roman" w:hAnsi="Times New Roman" w:eastAsia="仿宋_GB2312" w:cs="Times New Roman"/>
          <w:sz w:val="32"/>
          <w:szCs w:val="32"/>
        </w:rPr>
        <w:t>捕77件134人，不</w:t>
      </w:r>
      <w:r>
        <w:rPr>
          <w:rFonts w:hint="eastAsia" w:ascii="Times New Roman" w:hAnsi="Times New Roman" w:eastAsia="仿宋_GB2312" w:cs="Times New Roman"/>
          <w:sz w:val="32"/>
          <w:szCs w:val="32"/>
        </w:rPr>
        <w:t>起</w:t>
      </w:r>
      <w:r>
        <w:rPr>
          <w:rFonts w:ascii="Times New Roman" w:hAnsi="Times New Roman" w:eastAsia="仿宋_GB2312" w:cs="Times New Roman"/>
          <w:sz w:val="32"/>
          <w:szCs w:val="32"/>
        </w:rPr>
        <w:t>诉51件59人。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依托派驻检察室以及侦查活动监督平台，不断前移监督关口，深化刑事检察监督工作成效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进一步强化审判监督工作，着力提升抗诉精准率。五年来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共监督公安机关立案12件15人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监督撤案14件16人；依法纠正漏捕17人，纠正漏罪50人，纠正遗漏同案犯43人；提出抗诉14件。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在刑事执行检察监督工作方面积极作为。五年来，我院共办理羁押必要性审查案件9件9人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书面纠正违法活动207件；</w:t>
      </w:r>
      <w:r>
        <w:rPr>
          <w:rFonts w:ascii="Times New Roman" w:hAnsi="Times New Roman" w:eastAsia="仿宋_GB2312" w:cs="Times New Roman"/>
          <w:sz w:val="32"/>
          <w:szCs w:val="32"/>
        </w:rPr>
        <w:t>切实做好非法证据排除工作，在办理重大案件过程中积极开展侦查终结前讯问合法性核查工作4件10人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有效提升了重大案件办理的质量。</w:t>
      </w:r>
    </w:p>
    <w:p>
      <w:pPr>
        <w:spacing w:line="600" w:lineRule="exact"/>
        <w:ind w:firstLine="640" w:firstLineChars="200"/>
        <w:rPr>
          <w:rFonts w:ascii="Times New Roman" w:hAnsi="Times New Roman" w:eastAsia="仿宋_GB2312" w:cs="Times New Roman"/>
        </w:rPr>
      </w:pPr>
      <w:r>
        <w:rPr>
          <w:rFonts w:ascii="Times New Roman" w:hAnsi="Times New Roman" w:eastAsia="楷体_GB2312" w:cs="Times New Roman"/>
          <w:sz w:val="32"/>
          <w:szCs w:val="32"/>
        </w:rPr>
        <w:t>（二）做强民事检察。</w:t>
      </w:r>
      <w:r>
        <w:rPr>
          <w:rFonts w:ascii="Times New Roman" w:hAnsi="Times New Roman" w:eastAsia="仿宋_GB2312" w:cs="Times New Roman"/>
          <w:sz w:val="32"/>
          <w:szCs w:val="32"/>
        </w:rPr>
        <w:t>我院践行检察为民的理念，持续开展“虚假诉讼监督”、“涉民企执行监督”、“支持农民工讨薪”以及“失信人员违法惩戒法律监督”等专项活动，不断强化民事检察职能；深刻把握《民法典》实施的重大意义，主动向社会开展法律宣传活动，充分保护公民、法人和其他组织的合法权益。五年来，共办理民事执行活动监督案件42件，其中提出检察建议41件；办理民事审判程序违法监督案件28件，提出检察建议28件，均被法院采纳；办理支持起诉案件43件，帮助弱势群体追讨人身伤害赔偿金共90万余元。</w:t>
      </w:r>
    </w:p>
    <w:p>
      <w:pPr>
        <w:spacing w:line="600" w:lineRule="exact"/>
        <w:ind w:firstLine="640" w:firstLineChars="200"/>
        <w:rPr>
          <w:rFonts w:ascii="Times New Roman" w:hAnsi="Times New Roman" w:eastAsia="仿宋_GB2312" w:cs="Times New Roman"/>
        </w:rPr>
      </w:pPr>
      <w:r>
        <w:rPr>
          <w:rFonts w:ascii="Times New Roman" w:hAnsi="Times New Roman" w:eastAsia="楷体_GB2312" w:cs="Times New Roman"/>
          <w:sz w:val="32"/>
          <w:szCs w:val="32"/>
        </w:rPr>
        <w:t>（三）做实行政检察。</w:t>
      </w:r>
      <w:r>
        <w:rPr>
          <w:rFonts w:ascii="Times New Roman" w:hAnsi="Times New Roman" w:eastAsia="仿宋_GB2312" w:cs="Times New Roman"/>
          <w:sz w:val="32"/>
          <w:szCs w:val="32"/>
        </w:rPr>
        <w:t>我院围绕以行政诉讼监督为基石、以化解行政争议为牵引、以行政非诉执行监督为延伸的工作要求，持续深化行政检察工作成效。五年来，我院共办理行政机关不当履职监督案件4件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行政非诉执行监督案件1件。开展行政争议实质性化解专项活动，成功化解行政争议案件1件，同时与县市场监督管理局联合开展行政非诉执行监督专项活动，梳理了2018年以来相关案件，摸排线索3件。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（四）做好公益诉讼检察。</w:t>
      </w:r>
      <w:r>
        <w:rPr>
          <w:rFonts w:ascii="Times New Roman" w:hAnsi="Times New Roman" w:eastAsia="仿宋_GB2312" w:cs="Times New Roman"/>
          <w:sz w:val="32"/>
          <w:szCs w:val="32"/>
        </w:rPr>
        <w:t>我院把公益诉讼作为检察工作新的增长点，重点围绕人民群众关心的民生领域问题开展工作，为满足人民群众对美好生活的向往贡献检察力量。一是护航绿水青山。通过开展河湖“清四乱”等专项监督活动，共督促相关部门清理河道垃圾8公里300余吨，整治大气污染企业8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清理黑鹳自然保护区污染企业2家，以“检察蓝”守护“生态绿”。二是增进民生福祉。聚焦道路窨井盖安全、居民小区自动售水安全、农村道路限高设施影响应急救援通行安全、加油站违规使用移动扫码支付等社会公共问题，办理公益诉讼案件10件。通过发送检察建议督促行政机关及时更换、加固缺损窨井盖6处，拆除限高设施3处，排除使用移动扫码支付安全隐患加油站1家，切实保障社会公共安全。三是维护食品药品安全。开展“保障千家万户舌尖上的安全”等专项监督活动，共督促行政机关补办从业人员健康证明12人次，补办食品经营许可证件3份，处理违规销售处方药药店1家，处罚网络餐饮平台1家，责令下线网络餐饮服务提供者30余家。四是助力文物保护。充分发挥公益诉讼监督职能作用，共保护市、县两级文物保护单位3家。其中督促相关单位清理平型关烈士陵园周边堆放的生活建筑垃圾6吨，修缮维护“禅庵寺”、“赵北乐楼”文物保护单位2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五年来，我院共办理各类公益诉讼案件150余件，其中涉生态环境和资源保护领域110余件，涉食品药品安全领域25件，涉国有财产保护领域5件，其他领域案件10件，发出行政公益诉讼诉前检察建议120余份。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（五）积极化解社会矛盾。</w:t>
      </w:r>
      <w:r>
        <w:rPr>
          <w:rFonts w:ascii="Times New Roman" w:hAnsi="Times New Roman" w:eastAsia="仿宋_GB2312" w:cs="Times New Roman"/>
          <w:sz w:val="32"/>
          <w:szCs w:val="32"/>
        </w:rPr>
        <w:t>我院进一步深化控申维稳工作机制，全面推进“抓源头、化积案、保稳定”专项工作，积极关注民生、化解社会矛盾，坚持情、理、法一体化信访工作理念，推进控申检察工作更好发展；不断加强国家司法救助工作力度，积极调动各方力量，构建外部合作机制，加强同民政、人社、教育、工会、共青团、残联、妇联等相关职能部门的协调配合，积极推进国家司法救助工作。五年来，我院共办理群众信访案件102件，办理司法救助案件18件，救助22人，发放救助金13万余元。</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四、深化改革，创新工作，不断提升检察工作质效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“十三五”时期，我院将不断深化司法体制改革作为新时期加强检察机关建设、提升检察工作质效的重要途径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以严格落实司法责任制为抓手，将深化司法体制改革作为重要政治任务来完成。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（一）强化检察办案力量。</w:t>
      </w:r>
      <w:r>
        <w:rPr>
          <w:rFonts w:ascii="Times New Roman" w:hAnsi="Times New Roman" w:eastAsia="仿宋_GB2312" w:cs="Times New Roman"/>
          <w:sz w:val="32"/>
          <w:szCs w:val="32"/>
        </w:rPr>
        <w:t>我院以推进员额制改革为核心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按照司法改革的要求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建立完善员额检察官遴选机制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先后通过两次公开遴选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选拔出11名员额检察官并全部在办案一线承担办案工作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以办案质量、效率和效果为核心标准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建立完善员额检察官业绩评价指标体系和考评机制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并通过不断优化调整考评指标、计分规则和分值设置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进一步确保考评结果科学有效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引导检察官更加注重办案效果。</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楷体_GB2312" w:cs="Times New Roman"/>
          <w:sz w:val="32"/>
          <w:szCs w:val="32"/>
        </w:rPr>
        <w:t>（二）积极探索新型办案模式。</w:t>
      </w:r>
      <w:r>
        <w:rPr>
          <w:rFonts w:ascii="Times New Roman" w:hAnsi="Times New Roman" w:eastAsia="仿宋_GB2312" w:cs="Times New Roman"/>
          <w:sz w:val="32"/>
          <w:szCs w:val="32"/>
        </w:rPr>
        <w:t>我院主动对接司法体制改革之后对检察工作提出的新要求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顺应以审判为中心的诉讼制度改革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建立完善以捕诉一体为核心的办案机制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捕诉环节实</w:t>
      </w:r>
      <w:r>
        <w:rPr>
          <w:rFonts w:ascii="Times New Roman" w:hAnsi="Times New Roman" w:eastAsia="仿宋_GB2312" w:cs="Times New Roman"/>
          <w:spacing w:val="-2"/>
          <w:sz w:val="32"/>
          <w:szCs w:val="32"/>
        </w:rPr>
        <w:t>行无缝对接</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pacing w:val="-2"/>
          <w:sz w:val="32"/>
          <w:szCs w:val="32"/>
        </w:rPr>
        <w:t>捕诉办案期限明显缩短</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立足检察机关法律监督职能</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不断深化提前介入机制运用，进一步强化检察机关的诉前主导作用</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在侦查环节切实加强与公安机关沟通协调</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积极引导侦查人员取证对接庭审证据标准</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有效提升案件办理质量。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（三）全力推进内设机构改革。</w:t>
      </w:r>
      <w:r>
        <w:rPr>
          <w:rFonts w:ascii="Times New Roman" w:hAnsi="Times New Roman" w:eastAsia="仿宋_GB2312" w:cs="Times New Roman"/>
          <w:sz w:val="32"/>
          <w:szCs w:val="32"/>
        </w:rPr>
        <w:t>我院围绕省院、市院相关工作部署积极开展内设机构改革工作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结合本院实际情况制定工作方案、确定改革步骤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2019年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在保证新旧部门平稳过渡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检察工作有序进行的前提下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我院举行内设机构改革挂牌启动仪式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标志着我院内设机构改革工作圆满完成。改革后的内设部门为5个</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分别是办公室、政治部、第一检察部、第二检察部、第三检察部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新的内设机构设置在人员编制配置</w:t>
      </w:r>
      <w:r>
        <w:rPr>
          <w:rFonts w:ascii="Times New Roman" w:hAnsi="Times New Roman" w:eastAsia="仿宋" w:cs="Times New Roman"/>
          <w:sz w:val="32"/>
          <w:szCs w:val="32"/>
        </w:rPr>
        <w:t>上</w:t>
      </w:r>
      <w:r>
        <w:rPr>
          <w:rFonts w:ascii="Times New Roman" w:hAnsi="Times New Roman" w:eastAsia="仿宋_GB2312" w:cs="Times New Roman"/>
          <w:sz w:val="32"/>
          <w:szCs w:val="32"/>
        </w:rPr>
        <w:t>更加合理、检察职能分工上更加明确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充分满足了司法体制改革对检察机关和检察工作提出的新要求。</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五、素能强检，文化育检，打造正规化职业化检察铁军</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（一）强化班子建设，提高决策水平。</w:t>
      </w:r>
      <w:r>
        <w:rPr>
          <w:rFonts w:ascii="Times New Roman" w:hAnsi="Times New Roman" w:eastAsia="仿宋_GB2312" w:cs="Times New Roman"/>
          <w:sz w:val="32"/>
          <w:szCs w:val="32"/>
        </w:rPr>
        <w:t>面对班子成员年龄老化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我院在县委的大力支持下，坚持正确选人用人导向，从本院选任有着丰富从检经验的两名优秀员额检察官担任副检察长，优化班子年龄结构，充实强化领导干部队伍，切实提升党组班子的决策能力和水平。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（二）常抓业务建设，提升整体素能。</w:t>
      </w:r>
      <w:r>
        <w:rPr>
          <w:rFonts w:ascii="Times New Roman" w:hAnsi="Times New Roman" w:eastAsia="仿宋_GB2312" w:cs="Times New Roman"/>
          <w:sz w:val="32"/>
          <w:szCs w:val="32"/>
        </w:rPr>
        <w:t>我院以适应检察机关新职能新任务为主要目标，积极组织干警参加各级业务培训和网络培训课程，主动对接侦查监督平台运用、认罪认罚从宽制度适用等检察工作新机制，深化捕诉一体、提前介入办案机制运用，切实提升干警的业务能力和水平，逐步建立起一支结构合理、素质优良的检察人才队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（三）注重文化建设，树立先进典型。</w:t>
      </w:r>
      <w:r>
        <w:rPr>
          <w:rFonts w:ascii="Times New Roman" w:hAnsi="Times New Roman" w:eastAsia="仿宋_GB2312" w:cs="Times New Roman"/>
          <w:sz w:val="32"/>
          <w:szCs w:val="32"/>
        </w:rPr>
        <w:t>我院积极鼓励支持干警奋发有为、争创一流，充分发挥优秀干警示范引领作用。五年来，我院涌现出了一批先进集体和个人，共被评为先进单位和集体15次，先进个人36人次，其中安莉同志被省院和省人社厅评为山西省检察机关先进个人、马科同志被省院评为扫黑除恶先进个人、臧永峰同志荣</w:t>
      </w:r>
      <w:r>
        <w:rPr>
          <w:rFonts w:hint="eastAsia" w:ascii="Times New Roman" w:hAnsi="Times New Roman" w:eastAsia="仿宋_GB2312" w:cs="Times New Roman"/>
          <w:sz w:val="32"/>
          <w:szCs w:val="32"/>
        </w:rPr>
        <w:t>立</w:t>
      </w:r>
      <w:r>
        <w:rPr>
          <w:rFonts w:ascii="Times New Roman" w:hAnsi="Times New Roman" w:eastAsia="仿宋_GB2312" w:cs="Times New Roman"/>
          <w:sz w:val="32"/>
          <w:szCs w:val="32"/>
        </w:rPr>
        <w:t>三等功、张海霞同志荣获立功嘉奖。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十三五”规划期间，我院检察工作稳步推进，取得了良好的成绩。这些成绩的取得，离不开县委的正确领导，离不开县人大及其常委会的有力监督，离不开县政府、县政协及社会各界的大力支持。在此，我谨代表县人民检察院向各位代表、向关心支持检察工作的社会各界人士表示衷心的感谢和崇高的敬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回顾过去五年来的工作，在看到成绩的同时我们也清醒认识到，当前检察工作仍存在着一些问题和不足：一是法律监督职能发挥还不够充分，服务大局的力度和效果有待进一步提升；二是检察工作创新能力不足，面对新情况、新问题，应对能力还有所欠缺；三是检察队伍素质能力仍需不断增强，与新时代对检察工作的新要求还不适应；四是“四大检察”发展不全面、不平衡、不充分的问题依然存在。对于这些问题，我们将高度重视，采取措施加以解决。</w:t>
      </w:r>
    </w:p>
    <w:p>
      <w:pPr>
        <w:spacing w:beforeLines="50" w:afterLines="50" w:line="600" w:lineRule="exact"/>
        <w:jc w:val="center"/>
        <w:rPr>
          <w:rFonts w:ascii="Times New Roman" w:hAnsi="Times New Roman" w:eastAsia="仿宋" w:cs="Times New Roman"/>
          <w:sz w:val="32"/>
          <w:szCs w:val="32"/>
        </w:rPr>
      </w:pPr>
      <w:r>
        <w:rPr>
          <w:rFonts w:hint="eastAsia" w:ascii="Times New Roman" w:hAnsi="Times New Roman" w:eastAsia="黑体" w:cs="Times New Roman"/>
          <w:sz w:val="32"/>
          <w:szCs w:val="32"/>
        </w:rPr>
        <w:t>“</w:t>
      </w:r>
      <w:r>
        <w:rPr>
          <w:rFonts w:ascii="Times New Roman" w:hAnsi="Times New Roman" w:eastAsia="黑体" w:cs="Times New Roman"/>
          <w:sz w:val="32"/>
          <w:szCs w:val="32"/>
        </w:rPr>
        <w:t>十四五</w:t>
      </w:r>
      <w:r>
        <w:rPr>
          <w:rFonts w:hint="eastAsia" w:ascii="Times New Roman" w:hAnsi="Times New Roman" w:eastAsia="黑体" w:cs="Times New Roman"/>
          <w:sz w:val="32"/>
          <w:szCs w:val="32"/>
        </w:rPr>
        <w:t>”</w:t>
      </w:r>
      <w:r>
        <w:rPr>
          <w:rFonts w:ascii="Times New Roman" w:hAnsi="Times New Roman" w:eastAsia="黑体" w:cs="Times New Roman"/>
          <w:sz w:val="32"/>
          <w:szCs w:val="32"/>
        </w:rPr>
        <w:t>时期总体规划及2021年工作安排</w:t>
      </w:r>
    </w:p>
    <w:p>
      <w:pPr>
        <w:spacing w:line="600" w:lineRule="exact"/>
        <w:ind w:firstLine="640"/>
        <w:rPr>
          <w:rFonts w:ascii="Times New Roman" w:hAnsi="Times New Roman" w:eastAsia="黑体" w:cs="Times New Roman"/>
          <w:sz w:val="32"/>
          <w:szCs w:val="32"/>
        </w:rPr>
      </w:pPr>
      <w:r>
        <w:rPr>
          <w:rFonts w:ascii="Times New Roman" w:hAnsi="Times New Roman" w:eastAsia="仿宋_GB2312" w:cs="Times New Roman"/>
          <w:sz w:val="32"/>
          <w:szCs w:val="32"/>
        </w:rPr>
        <w:t>各位代表，2021年是中国共产党成立一百周年，也是全面建成社会主义现代化的起步之年和“十四五”规划的开局之年。</w:t>
      </w:r>
      <w:r>
        <w:rPr>
          <w:rFonts w:ascii="Times New Roman" w:hAnsi="Times New Roman" w:eastAsia="黑体" w:cs="Times New Roman"/>
          <w:sz w:val="32"/>
          <w:szCs w:val="32"/>
        </w:rPr>
        <w:t>灵丘县人民检察院将深入学习贯彻习近平新时代中国特色社会主义思想和党的十九大、十九届二中、三中、四中、五中全会精神，全面贯彻落实《中国共产党政法工作条例》，坚持党对检察工作的绝对领导和以人民为中心的发展理念，围绕县委县政府中心工作部署，以建设宜居宜业宜游幸福富足魅力灵丘为目标，努力为灵丘县经济社会转型发展</w:t>
      </w:r>
      <w:r>
        <w:rPr>
          <w:rFonts w:hint="eastAsia" w:ascii="Times New Roman" w:hAnsi="Times New Roman" w:eastAsia="黑体" w:cs="Times New Roman"/>
          <w:sz w:val="32"/>
          <w:szCs w:val="32"/>
        </w:rPr>
        <w:t>蹚新路</w:t>
      </w:r>
      <w:r>
        <w:rPr>
          <w:rFonts w:ascii="Times New Roman" w:hAnsi="Times New Roman" w:eastAsia="黑体" w:cs="Times New Roman"/>
          <w:sz w:val="32"/>
          <w:szCs w:val="32"/>
        </w:rPr>
        <w:t>提供更为优质的检察服务。</w:t>
      </w:r>
    </w:p>
    <w:p>
      <w:pPr>
        <w:spacing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sz w:val="32"/>
          <w:szCs w:val="32"/>
        </w:rPr>
        <w:t>一是努力在服务全县经济社会高质量发展上取得新成效。</w:t>
      </w:r>
      <w:r>
        <w:rPr>
          <w:rFonts w:ascii="Times New Roman" w:hAnsi="Times New Roman" w:eastAsia="仿宋_GB2312" w:cs="Times New Roman"/>
          <w:sz w:val="32"/>
          <w:szCs w:val="32"/>
        </w:rPr>
        <w:t>我院将聚焦“十四五”时期经济社会发展目标任务，找准检察服务的着力点，坚持总体国家安全观，始终保持对各类刑事犯罪的高压态势，全力维护政治安全、社会稳定和人民安宁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推动扫黑除恶常态化，坚决打击黑恶势力及其“保护伞”，从严整治危害粮食安全、食品药品安全和污染环境等犯罪，平等保护各类市场主体，严厉打击各类破坏市场经济秩序犯罪，切实保障企业家合法权益。</w:t>
      </w:r>
    </w:p>
    <w:p>
      <w:pPr>
        <w:spacing w:line="600" w:lineRule="exact"/>
        <w:ind w:firstLine="640"/>
        <w:rPr>
          <w:rFonts w:ascii="Times New Roman" w:hAnsi="Times New Roman" w:eastAsia="仿宋_GB2312" w:cs="Times New Roman"/>
          <w:sz w:val="32"/>
          <w:szCs w:val="32"/>
        </w:rPr>
      </w:pPr>
      <w:r>
        <w:rPr>
          <w:rFonts w:ascii="Times New Roman" w:hAnsi="Times New Roman" w:eastAsia="楷体_GB2312" w:cs="Times New Roman"/>
          <w:sz w:val="32"/>
          <w:szCs w:val="32"/>
        </w:rPr>
        <w:t>二是努力在推动法律监督工作全面、协调、充分发展上取得新成效。</w:t>
      </w:r>
      <w:r>
        <w:rPr>
          <w:rFonts w:ascii="Times New Roman" w:hAnsi="Times New Roman" w:eastAsia="仿宋_GB2312" w:cs="Times New Roman"/>
          <w:sz w:val="32"/>
          <w:szCs w:val="32"/>
        </w:rPr>
        <w:t>我院将围绕高检院、省院、市院重点检察工作部署，以做优刑事检察工作、做强民事检察工作、做实行政检察工作、做好公益诉讼检察工作为依托，推动“四大检察”“十大业务”均衡发展，着力做到精准监督，争取双赢多赢共赢效果，努力实现政治效果、法律效果、社会效果的有机统一。</w:t>
      </w:r>
    </w:p>
    <w:p>
      <w:pPr>
        <w:spacing w:line="600" w:lineRule="exact"/>
        <w:ind w:firstLine="640"/>
        <w:rPr>
          <w:rFonts w:ascii="Times New Roman" w:hAnsi="Times New Roman" w:eastAsia="仿宋_GB2312" w:cs="Times New Roman"/>
          <w:spacing w:val="-2"/>
          <w:sz w:val="32"/>
          <w:szCs w:val="32"/>
        </w:rPr>
      </w:pPr>
      <w:r>
        <w:rPr>
          <w:rFonts w:ascii="Times New Roman" w:hAnsi="Times New Roman" w:eastAsia="楷体_GB2312" w:cs="Times New Roman"/>
          <w:sz w:val="32"/>
          <w:szCs w:val="32"/>
        </w:rPr>
        <w:t>三是努力在打造专业化职业化过硬检察队伍上取得新成效。</w:t>
      </w:r>
      <w:r>
        <w:rPr>
          <w:rFonts w:ascii="Times New Roman" w:hAnsi="Times New Roman" w:eastAsia="仿宋_GB2312" w:cs="Times New Roman"/>
          <w:spacing w:val="-2"/>
          <w:sz w:val="32"/>
          <w:szCs w:val="32"/>
        </w:rPr>
        <w:t>我院将坚持以政治建设为统领，深入学习习近平法治思想和《中国共产党政法工作条例》，扎实开展检察队伍教育整顿和党史学习教育工作，坚决整治顽瘴痼疾、清除害群之马；积极适应检察机关新职能新任务，着力提升检察业务素质，提升队伍专业化能力；严肃执纪监督问责，持续推进全面从严治党、从严治检，坚决做到对违纪违法“零容忍”，努力打造对党忠诚、服务人民、司法公正、纪律严明的检察铁军。</w:t>
      </w:r>
    </w:p>
    <w:p>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四是努力在自觉接受监督、规范司法履职、提升司法公信</w:t>
      </w:r>
      <w:r>
        <w:rPr>
          <w:rFonts w:hint="eastAsia" w:ascii="Times New Roman" w:hAnsi="Times New Roman" w:eastAsia="楷体_GB2312" w:cs="Times New Roman"/>
          <w:sz w:val="32"/>
          <w:szCs w:val="32"/>
        </w:rPr>
        <w:t>力</w:t>
      </w:r>
      <w:r>
        <w:rPr>
          <w:rFonts w:ascii="Times New Roman" w:hAnsi="Times New Roman" w:eastAsia="楷体_GB2312" w:cs="Times New Roman"/>
          <w:sz w:val="32"/>
          <w:szCs w:val="32"/>
        </w:rPr>
        <w:t>上取得新成效。</w:t>
      </w:r>
      <w:r>
        <w:rPr>
          <w:rFonts w:ascii="Times New Roman" w:hAnsi="Times New Roman" w:eastAsia="仿宋_GB2312" w:cs="Times New Roman"/>
          <w:sz w:val="32"/>
          <w:szCs w:val="32"/>
        </w:rPr>
        <w:t>我院将</w:t>
      </w:r>
      <w:r>
        <w:rPr>
          <w:rFonts w:ascii="Times New Roman" w:hAnsi="Times New Roman" w:eastAsia="仿宋_GB2312" w:cs="Times New Roman"/>
          <w:color w:val="000000"/>
          <w:sz w:val="32"/>
          <w:szCs w:val="32"/>
        </w:rPr>
        <w:t>以增强检察机关司法公信力为着眼点，始终坚持人民检察为人民的原则，积极听取接受人大、政协以及社会各界对检察机关、检察工作以及检察队伍的意见和建议并认真落实；进一步落实人大代表、政协委员联络制度，借助检察开放日、检察工作座谈会和检察公开听证等形式，密切检察机关与人民群众的联系，增强检察工作的透明度，在监督中不断改进工作。</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各位代表，2021年，我院将在县委和市检察院的坚强领导下，在县人大及其常委会的有力监督下，在县政府、县政协和社会各界的大力支持下，锐意进取、忠诚履职，为推动灵丘县经济社会高质量转型发展、奋力开启建设宜居宜业宜游幸福富足魅力灵丘新征程贡献新的检察力量，向全县人民交上一份满意的检察答卷，以优异的成绩迎接中国共产党成立100周年！</w:t>
      </w:r>
    </w:p>
    <w:p>
      <w:pPr>
        <w:spacing w:line="600" w:lineRule="exact"/>
        <w:rPr>
          <w:rFonts w:ascii="Times New Roman" w:hAnsi="Times New Roman" w:cs="Times New Roman"/>
        </w:rPr>
      </w:pPr>
    </w:p>
    <w:p>
      <w:pPr>
        <w:spacing w:line="600" w:lineRule="exact"/>
        <w:rPr>
          <w:rFonts w:ascii="Times New Roman" w:hAnsi="Times New Roman" w:eastAsia="仿宋" w:cs="Times New Roman"/>
          <w:sz w:val="32"/>
          <w:szCs w:val="32"/>
        </w:rPr>
      </w:pPr>
    </w:p>
    <w:p>
      <w:pPr>
        <w:spacing w:line="600" w:lineRule="exact"/>
        <w:rPr>
          <w:rFonts w:ascii="Times New Roman" w:hAnsi="Times New Roman" w:eastAsia="黑体" w:cs="Times New Roman"/>
          <w:color w:val="000000"/>
          <w:sz w:val="32"/>
          <w:szCs w:val="32"/>
        </w:rPr>
      </w:pPr>
    </w:p>
    <w:p>
      <w:pPr>
        <w:pStyle w:val="2"/>
      </w:pPr>
    </w:p>
    <w:p>
      <w:pPr>
        <w:pStyle w:val="2"/>
      </w:pPr>
    </w:p>
    <w:p>
      <w:pPr>
        <w:spacing w:line="60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 xml:space="preserve">附件： </w:t>
      </w:r>
    </w:p>
    <w:p>
      <w:pPr>
        <w:spacing w:beforeLines="50" w:afterLines="50"/>
        <w:jc w:val="center"/>
        <w:rPr>
          <w:rFonts w:ascii="Times New Roman" w:hAnsi="Times New Roman" w:eastAsia="黑体" w:cs="Times New Roman"/>
          <w:sz w:val="32"/>
          <w:szCs w:val="32"/>
        </w:rPr>
      </w:pPr>
      <w:r>
        <w:rPr>
          <w:rFonts w:ascii="Times New Roman" w:hAnsi="Times New Roman" w:eastAsia="方正小标宋简体" w:cs="Times New Roman"/>
          <w:sz w:val="44"/>
          <w:szCs w:val="44"/>
        </w:rPr>
        <w:t>报告中有关名词解释</w:t>
      </w:r>
    </w:p>
    <w:p>
      <w:pPr>
        <w:tabs>
          <w:tab w:val="left" w:pos="312"/>
        </w:tabs>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1、“四大检察”：</w:t>
      </w:r>
      <w:r>
        <w:rPr>
          <w:rFonts w:ascii="Times New Roman" w:hAnsi="Times New Roman" w:eastAsia="仿宋_GB2312" w:cs="Times New Roman"/>
          <w:sz w:val="32"/>
          <w:szCs w:val="32"/>
        </w:rPr>
        <w:t>刑事检察、民事检察、行政检察和公益诉讼检察。</w:t>
      </w:r>
    </w:p>
    <w:p>
      <w:pPr>
        <w:tabs>
          <w:tab w:val="left" w:pos="312"/>
        </w:tabs>
        <w:spacing w:line="60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2、“十大业务”：</w:t>
      </w:r>
      <w:r>
        <w:rPr>
          <w:rFonts w:ascii="Times New Roman" w:hAnsi="Times New Roman" w:eastAsia="仿宋_GB2312" w:cs="Times New Roman"/>
          <w:bCs/>
          <w:sz w:val="32"/>
          <w:szCs w:val="32"/>
        </w:rPr>
        <w:t>指普通刑事犯罪检察业务、重大刑事犯罪检察业务、职务犯罪检察业务、经济金融犯罪检察业务、刑事执行和司法人员职务犯罪检察业务、民事检察业务、行政检察业务、公益诉讼检察业务、未成年人检察业务、控告申诉检察业务。</w:t>
      </w:r>
    </w:p>
    <w:p>
      <w:pPr>
        <w:tabs>
          <w:tab w:val="left" w:pos="312"/>
        </w:tabs>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3</w:t>
      </w:r>
      <w:r>
        <w:rPr>
          <w:rFonts w:ascii="Times New Roman" w:hAnsi="Times New Roman" w:eastAsia="仿宋_GB2312" w:cs="Times New Roman"/>
          <w:b/>
          <w:sz w:val="32"/>
          <w:szCs w:val="32"/>
        </w:rPr>
        <w:t>、“一号检察建议”：</w:t>
      </w:r>
      <w:r>
        <w:rPr>
          <w:rFonts w:ascii="Times New Roman" w:hAnsi="Times New Roman" w:eastAsia="仿宋_GB2312" w:cs="Times New Roman"/>
          <w:sz w:val="32"/>
          <w:szCs w:val="32"/>
        </w:rPr>
        <w:t>2018年10月19日，最高检向教育部发送《中华人民共和国最高人民检察院检察建议书》，针对校园安全管理规定执行不严格、教职工队伍管理不到位，以及儿童和学生法治教育、预防性侵害教育缺位等问题提出3项具体建议。</w:t>
      </w:r>
    </w:p>
    <w:p>
      <w:pPr>
        <w:tabs>
          <w:tab w:val="left" w:pos="312"/>
        </w:tabs>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4</w:t>
      </w:r>
      <w:r>
        <w:rPr>
          <w:rFonts w:ascii="Times New Roman" w:hAnsi="Times New Roman" w:eastAsia="仿宋_GB2312" w:cs="Times New Roman"/>
          <w:b/>
          <w:sz w:val="32"/>
          <w:szCs w:val="32"/>
        </w:rPr>
        <w:t>、“案-件比”：</w:t>
      </w:r>
      <w:r>
        <w:rPr>
          <w:rFonts w:ascii="Times New Roman" w:hAnsi="Times New Roman" w:eastAsia="仿宋_GB2312" w:cs="Times New Roman"/>
          <w:sz w:val="32"/>
          <w:szCs w:val="32"/>
        </w:rPr>
        <w:t>指检察机关在办理刑事案件中，受理审查起诉的“案”数与检察机关在审查案件时因退查、延期等因素所产生的“件”数之间的比。</w:t>
      </w:r>
    </w:p>
    <w:p>
      <w:pPr>
        <w:tabs>
          <w:tab w:val="left" w:pos="312"/>
        </w:tabs>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、“三个规定”：</w:t>
      </w:r>
      <w:r>
        <w:rPr>
          <w:rFonts w:ascii="Times New Roman" w:hAnsi="Times New Roman" w:eastAsia="仿宋_GB2312" w:cs="Times New Roman"/>
          <w:sz w:val="32"/>
          <w:szCs w:val="32"/>
        </w:rPr>
        <w:t>2015年，中共中央办公厅、国务院办公厅、中央政法委、最高人民法院、最高人民检察院、公安部、国家安全部、司法部先后出台《领导干部干预司法活动、插手具体案件处理的记录、通报和责任追究规定》《司法机关内部人员过问案件的记录和责任追究规定》《关于进一步规范司法人员与当事人、律师、特殊关系人、中介组织接触交往行为的若干规定》，简称为“三个规定”。</w:t>
      </w:r>
    </w:p>
    <w:p>
      <w:pPr>
        <w:tabs>
          <w:tab w:val="left" w:pos="312"/>
        </w:tabs>
        <w:ind w:firstLine="640" w:firstLineChars="200"/>
        <w:rPr>
          <w:rFonts w:ascii="Times New Roman" w:hAnsi="Times New Roman" w:eastAsia="仿宋_GB2312" w:cs="Times New Roman"/>
          <w:sz w:val="32"/>
          <w:szCs w:val="32"/>
        </w:rPr>
      </w:pPr>
    </w:p>
    <w:p>
      <w:pPr>
        <w:tabs>
          <w:tab w:val="left" w:pos="312"/>
        </w:tabs>
        <w:ind w:firstLine="640" w:firstLineChars="200"/>
        <w:rPr>
          <w:rFonts w:ascii="Times New Roman" w:hAnsi="Times New Roman" w:eastAsia="仿宋_GB2312" w:cs="Times New Roman"/>
          <w:sz w:val="32"/>
          <w:szCs w:val="32"/>
        </w:rPr>
      </w:pPr>
    </w:p>
    <w:p>
      <w:pPr>
        <w:tabs>
          <w:tab w:val="left" w:pos="312"/>
        </w:tabs>
        <w:ind w:firstLine="640" w:firstLineChars="200"/>
        <w:rPr>
          <w:rFonts w:ascii="Times New Roman" w:hAnsi="Times New Roman" w:eastAsia="仿宋_GB2312" w:cs="Times New Roman"/>
          <w:sz w:val="32"/>
          <w:szCs w:val="32"/>
        </w:rPr>
      </w:pPr>
    </w:p>
    <w:p>
      <w:pPr>
        <w:tabs>
          <w:tab w:val="left" w:pos="312"/>
        </w:tabs>
        <w:ind w:firstLine="640" w:firstLineChars="200"/>
        <w:rPr>
          <w:rFonts w:ascii="Times New Roman" w:hAnsi="Times New Roman" w:eastAsia="仿宋_GB2312" w:cs="Times New Roman"/>
          <w:sz w:val="32"/>
          <w:szCs w:val="32"/>
        </w:rPr>
      </w:pPr>
    </w:p>
    <w:p>
      <w:pPr>
        <w:pStyle w:val="2"/>
        <w:ind w:left="0"/>
      </w:pPr>
    </w:p>
    <w:p>
      <w:pPr>
        <w:pStyle w:val="2"/>
      </w:pPr>
    </w:p>
    <w:p>
      <w:pPr>
        <w:pStyle w:val="2"/>
      </w:pPr>
    </w:p>
    <w:p>
      <w:pPr>
        <w:pStyle w:val="2"/>
      </w:pPr>
    </w:p>
    <w:p>
      <w:pPr>
        <w:pStyle w:val="2"/>
      </w:pPr>
    </w:p>
    <w:p>
      <w:pPr>
        <w:pStyle w:val="2"/>
      </w:pPr>
    </w:p>
    <w:p>
      <w:pPr>
        <w:pStyle w:val="8"/>
        <w:ind w:left="0" w:leftChars="0" w:firstLine="0" w:firstLineChars="0"/>
        <w:rPr>
          <w:rFonts w:ascii="Times New Roman" w:hAnsi="Times New Roman" w:cs="Times New Roman"/>
          <w:color w:val="000000"/>
          <w:sz w:val="27"/>
        </w:rPr>
      </w:pPr>
    </w:p>
    <w:p>
      <w:pPr>
        <w:rPr>
          <w:rFonts w:ascii="Times New Roman" w:hAnsi="Times New Roman" w:eastAsia="仿宋_GB2312" w:cs="Times New Roman"/>
          <w:color w:val="000000"/>
          <w:sz w:val="48"/>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pPr>
    </w:p>
    <w:p>
      <w:pPr>
        <w:pStyle w:val="2"/>
      </w:pPr>
    </w:p>
    <w:p>
      <w:pPr>
        <w:pStyle w:val="2"/>
      </w:pPr>
    </w:p>
    <w:p>
      <w:pPr>
        <w:pStyle w:val="2"/>
      </w:pPr>
    </w:p>
    <w:p>
      <w:pPr>
        <w:pStyle w:val="2"/>
        <w:snapToGrid w:val="0"/>
        <w:spacing w:line="240" w:lineRule="auto"/>
        <w:ind w:left="0"/>
        <w:rPr>
          <w:sz w:val="96"/>
        </w:rPr>
      </w:pPr>
    </w:p>
    <w:p>
      <w:pPr>
        <w:pStyle w:val="4"/>
        <w:spacing w:line="560" w:lineRule="exact"/>
        <w:rPr>
          <w:color w:val="000000"/>
        </w:rPr>
      </w:pPr>
      <w:r>
        <w:rPr>
          <w:rFonts w:ascii="Times New Roman" w:hAnsi="Times New Roman" w:eastAsia="仿宋_GB2312" w:cs="Times New Roman"/>
          <w:color w:val="000000"/>
          <w:kern w:val="2"/>
          <w:sz w:val="32"/>
          <w:szCs w:val="20"/>
          <w:lang w:val="en-US" w:eastAsia="zh-CN" w:bidi="ar-SA"/>
        </w:rPr>
        <w:pict>
          <v:line id="直接连接符 5" o:spid="_x0000_s1026" o:spt="20" style="position:absolute;left:0pt;margin-left:0pt;margin-top:30.9pt;height:0.05pt;width:419.55pt;z-index:251660288;mso-width-relative:page;mso-height-relative:page;" fillcolor="#FFFFFF" filled="f" o:preferrelative="t" stroked="t" coordsize="21600,21600" o:allowincell="f">
            <v:path arrowok="t"/>
            <v:fill on="f" color2="#FFFFFF" focussize="0,0"/>
            <v:stroke weight="1pt" color="#000000" color2="#FFFFFF" miterlimit="2"/>
            <v:imagedata gain="65536f" blacklevel="0f" gamma="0" o:title=""/>
            <o:lock v:ext="edit" position="f" selection="f" grouping="f" rotation="f" cropping="f" text="f" aspectratio="f"/>
          </v:line>
        </w:pict>
      </w:r>
      <w:r>
        <w:rPr>
          <w:rFonts w:ascii="Times New Roman" w:hAnsi="Times New Roman" w:eastAsia="仿宋_GB2312" w:cs="Times New Roman"/>
          <w:color w:val="000000"/>
          <w:kern w:val="2"/>
          <w:sz w:val="32"/>
          <w:szCs w:val="20"/>
          <w:lang w:val="en-US" w:eastAsia="zh-CN" w:bidi="ar-SA"/>
        </w:rPr>
        <w:pict>
          <v:line id="直接连接符 6" o:spid="_x0000_s1027" o:spt="20" style="position:absolute;left:0pt;margin-left:0pt;margin-top:3.85pt;height:0.05pt;width:419.55pt;z-index:251659264;mso-width-relative:page;mso-height-relative:page;" fillcolor="#FFFFFF" filled="f" o:preferrelative="t" stroked="t" coordsize="21600,21600">
            <v:path arrowok="t"/>
            <v:fill on="f" color2="#FFFFFF" focussize="0,0"/>
            <v:stroke weight="1pt" color="#000000" color2="#FFFFFF" miterlimit="2"/>
            <v:imagedata gain="65536f" blacklevel="0f" gamma="0" o:title=""/>
            <o:lock v:ext="edit" position="f" selection="f" grouping="f" rotation="f" cropping="f" text="f" aspectratio="f"/>
          </v:line>
        </w:pict>
      </w:r>
      <w:r>
        <w:rPr>
          <w:color w:val="000000"/>
        </w:rPr>
        <w:t>县十七届人大一次会议秘书处              2021年4月印</w:t>
      </w:r>
    </w:p>
    <w:sectPr>
      <w:footerReference r:id="rId3" w:type="default"/>
      <w:footerReference r:id="rId4" w:type="even"/>
      <w:pgSz w:w="11906" w:h="16838"/>
      <w:pgMar w:top="1588" w:right="1758" w:bottom="1588" w:left="175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t>1</w:t>
    </w:r>
    <w:r>
      <w:rPr>
        <w:rFonts w:ascii="宋体" w:hAnsi="宋体"/>
        <w:sz w:val="24"/>
      </w:rPr>
      <w:fldChar w:fldCharType="end"/>
    </w:r>
    <w:r>
      <w:rPr>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t>2</w:t>
    </w:r>
    <w:r>
      <w:rPr>
        <w:rFonts w:ascii="宋体" w:hAnsi="宋体"/>
        <w:sz w:val="24"/>
      </w:rPr>
      <w:fldChar w:fldCharType="end"/>
    </w:r>
    <w:r>
      <w:rPr>
        <w:rFonts w:hint="eastAsia" w:ascii="宋体" w:hAnsi="宋体"/>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450B5327"/>
    <w:rsid w:val="6E9212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22222"/>
    <w:qFormat/>
    <w:uiPriority w:val="0"/>
    <w:pPr>
      <w:spacing w:line="424" w:lineRule="atLeast"/>
      <w:ind w:left="1"/>
      <w:jc w:val="both"/>
      <w:textAlignment w:val="bottom"/>
    </w:pPr>
    <w:rPr>
      <w:rFonts w:ascii="Times New Roman" w:hAnsi="Times New Roman" w:eastAsia="宋体" w:cs="Times New Roman"/>
      <w:sz w:val="28"/>
      <w:szCs w:val="22"/>
      <w:lang w:val="en-US" w:eastAsia="zh-CN" w:bidi="ar-SA"/>
    </w:rPr>
  </w:style>
  <w:style w:type="paragraph" w:styleId="3">
    <w:name w:val="Body Text Indent"/>
    <w:basedOn w:val="1"/>
    <w:link w:val="11"/>
    <w:qFormat/>
    <w:uiPriority w:val="0"/>
    <w:pPr>
      <w:spacing w:after="120"/>
      <w:ind w:left="420" w:leftChars="200"/>
    </w:pPr>
  </w:style>
  <w:style w:type="paragraph" w:styleId="4">
    <w:name w:val="Date"/>
    <w:basedOn w:val="1"/>
    <w:next w:val="1"/>
    <w:link w:val="13"/>
    <w:unhideWhenUsed/>
    <w:qFormat/>
    <w:uiPriority w:val="99"/>
    <w:rPr>
      <w:rFonts w:ascii="Times New Roman" w:hAnsi="Times New Roman" w:eastAsia="仿宋_GB2312" w:cs="Times New Roman"/>
      <w:sz w:val="32"/>
      <w:szCs w:val="20"/>
    </w:rPr>
  </w:style>
  <w:style w:type="paragraph" w:styleId="5">
    <w:name w:val="Balloon Text"/>
    <w:basedOn w:val="1"/>
    <w:link w:val="14"/>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3"/>
    <w:link w:val="12"/>
    <w:unhideWhenUsed/>
    <w:qFormat/>
    <w:uiPriority w:val="99"/>
    <w:pPr>
      <w:ind w:firstLine="420" w:firstLineChars="200"/>
    </w:pPr>
    <w:rPr>
      <w:rFonts w:cs="宋体"/>
      <w:szCs w:val="21"/>
    </w:rPr>
  </w:style>
  <w:style w:type="character" w:customStyle="1" w:styleId="11">
    <w:name w:val="正文文本缩进 Char"/>
    <w:link w:val="3"/>
    <w:qFormat/>
    <w:uiPriority w:val="0"/>
    <w:rPr>
      <w:rFonts w:ascii="Calibri" w:hAnsi="Calibri" w:eastAsia="宋体" w:cs="黑体"/>
      <w:kern w:val="2"/>
      <w:sz w:val="21"/>
      <w:szCs w:val="24"/>
    </w:rPr>
  </w:style>
  <w:style w:type="character" w:customStyle="1" w:styleId="12">
    <w:name w:val="正文首行缩进 2 Char"/>
    <w:link w:val="8"/>
    <w:qFormat/>
    <w:uiPriority w:val="99"/>
    <w:rPr>
      <w:rFonts w:ascii="Calibri" w:hAnsi="Calibri" w:eastAsia="宋体" w:cs="宋体"/>
      <w:kern w:val="2"/>
      <w:sz w:val="21"/>
      <w:szCs w:val="21"/>
    </w:rPr>
  </w:style>
  <w:style w:type="character" w:customStyle="1" w:styleId="13">
    <w:name w:val="日期 Char"/>
    <w:link w:val="4"/>
    <w:qFormat/>
    <w:uiPriority w:val="99"/>
    <w:rPr>
      <w:rFonts w:eastAsia="仿宋_GB2312"/>
      <w:kern w:val="2"/>
      <w:sz w:val="32"/>
    </w:rPr>
  </w:style>
  <w:style w:type="character" w:customStyle="1" w:styleId="14">
    <w:name w:val="批注框文本 Char"/>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1107</Words>
  <Characters>6313</Characters>
  <Lines>52</Lines>
  <Paragraphs>14</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2021-04-02T10:17:00Z</dcterms:created>
  <dc:creator>renjun</dc:creator>
  <cp:lastModifiedBy>俊</cp:lastModifiedBy>
  <cp:lastPrinted>2021-04-07T02:34:00Z</cp:lastPrinted>
  <dcterms:modified xsi:type="dcterms:W3CDTF">2021-04-08T06:36:54Z</dcterms:modified>
  <dc:title>灵丘县十七届人大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560500C10FD94D0EA7E36BCCEAE1ABB2</vt:lpwstr>
  </property>
</Properties>
</file>