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黑体" w:cs="Times New Roman"/>
          <w:color w:val="000000"/>
          <w:sz w:val="28"/>
        </w:rPr>
      </w:pPr>
      <w:r>
        <w:rPr>
          <w:rFonts w:ascii="Times New Roman" w:hAnsi="Times New Roman" w:eastAsia="黑体" w:cs="Times New Roman"/>
          <w:color w:val="000000"/>
          <w:sz w:val="28"/>
        </w:rPr>
        <w:t>灵丘县十七届人大</w:t>
      </w:r>
    </w:p>
    <w:p>
      <w:pPr>
        <w:rPr>
          <w:rFonts w:ascii="Times New Roman" w:hAnsi="Times New Roman" w:eastAsia="黑体" w:cs="Times New Roman"/>
          <w:color w:val="000000"/>
          <w:sz w:val="28"/>
        </w:rPr>
      </w:pPr>
      <w:r>
        <w:rPr>
          <w:rFonts w:ascii="Times New Roman" w:hAnsi="Times New Roman" w:eastAsia="黑体" w:cs="Times New Roman"/>
          <w:color w:val="000000"/>
          <w:sz w:val="28"/>
        </w:rPr>
        <w:t>三次会议文</w:t>
      </w:r>
      <w:r>
        <w:rPr>
          <w:rFonts w:ascii="Times New Roman" w:hAnsi="Times New Roman" w:eastAsia="黑体" w:cs="Times New Roman"/>
          <w:color w:val="000000"/>
          <w:spacing w:val="-40"/>
          <w:sz w:val="28"/>
        </w:rPr>
        <w:t>件</w:t>
      </w:r>
      <w:r>
        <w:rPr>
          <w:rFonts w:ascii="Times New Roman" w:hAnsi="Times New Roman" w:eastAsia="黑体" w:cs="Times New Roman"/>
          <w:color w:val="000000"/>
          <w:sz w:val="28"/>
        </w:rPr>
        <w:t>（</w:t>
      </w:r>
      <w:r>
        <w:rPr>
          <w:rFonts w:hint="eastAsia" w:ascii="Times New Roman" w:hAnsi="Times New Roman" w:eastAsia="黑体" w:cs="Times New Roman"/>
          <w:color w:val="000000"/>
          <w:sz w:val="28"/>
        </w:rPr>
        <w:t>19</w:t>
      </w:r>
      <w:r>
        <w:rPr>
          <w:rFonts w:ascii="Times New Roman" w:hAnsi="Times New Roman" w:eastAsia="黑体" w:cs="Times New Roman"/>
          <w:color w:val="000000"/>
          <w:sz w:val="28"/>
        </w:rPr>
        <w:t>）</w:t>
      </w:r>
    </w:p>
    <w:p>
      <w:pPr>
        <w:rPr>
          <w:rFonts w:ascii="Times New Roman" w:hAnsi="Times New Roman" w:eastAsia="黑体" w:cs="Times New Roman"/>
          <w:color w:val="000000"/>
          <w:sz w:val="40"/>
          <w:szCs w:val="44"/>
        </w:rPr>
      </w:pP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灵丘县人民检察院工作报告</w:t>
      </w:r>
    </w:p>
    <w:p>
      <w:pPr>
        <w:tabs>
          <w:tab w:val="left" w:pos="4610"/>
        </w:tabs>
        <w:spacing w:line="600" w:lineRule="exact"/>
        <w:jc w:val="left"/>
        <w:rPr>
          <w:rFonts w:ascii="Times New Roman" w:hAnsi="Times New Roman" w:eastAsia="方正小标宋简体" w:cs="Times New Roman"/>
          <w:color w:val="000000"/>
          <w:sz w:val="32"/>
          <w:szCs w:val="32"/>
        </w:rPr>
      </w:pPr>
      <w:r>
        <w:rPr>
          <w:rFonts w:ascii="Times New Roman" w:hAnsi="Times New Roman" w:eastAsia="方正小标宋简体" w:cs="Times New Roman"/>
          <w:color w:val="000000"/>
          <w:sz w:val="32"/>
          <w:szCs w:val="32"/>
        </w:rPr>
        <w:tab/>
      </w:r>
    </w:p>
    <w:p>
      <w:pPr>
        <w:jc w:val="center"/>
        <w:rPr>
          <w:rFonts w:ascii="Times New Roman" w:hAnsi="Times New Roman" w:eastAsia="楷体" w:cs="Times New Roman"/>
          <w:sz w:val="28"/>
          <w:szCs w:val="28"/>
        </w:rPr>
      </w:pPr>
      <w:r>
        <w:rPr>
          <w:rFonts w:ascii="Times New Roman" w:hAnsi="Times New Roman" w:cs="Times New Roman" w:eastAsiaTheme="majorEastAsia"/>
          <w:sz w:val="28"/>
          <w:szCs w:val="28"/>
        </w:rPr>
        <w:t>——</w:t>
      </w:r>
      <w:r>
        <w:rPr>
          <w:rFonts w:ascii="Times New Roman" w:hAnsi="Times New Roman" w:eastAsia="楷体" w:cs="Times New Roman"/>
          <w:sz w:val="28"/>
          <w:szCs w:val="28"/>
        </w:rPr>
        <w:t>2022年</w:t>
      </w:r>
      <w:r>
        <w:rPr>
          <w:rFonts w:hint="eastAsia" w:ascii="Times New Roman" w:hAnsi="Times New Roman" w:eastAsia="楷体" w:cs="Times New Roman"/>
          <w:sz w:val="28"/>
          <w:szCs w:val="28"/>
          <w:lang w:val="en-US" w:eastAsia="zh-CN"/>
        </w:rPr>
        <w:t>5</w:t>
      </w:r>
      <w:r>
        <w:rPr>
          <w:rFonts w:ascii="Times New Roman" w:hAnsi="Times New Roman" w:eastAsia="楷体" w:cs="Times New Roman"/>
          <w:sz w:val="28"/>
          <w:szCs w:val="28"/>
        </w:rPr>
        <w:t>月</w:t>
      </w:r>
      <w:r>
        <w:rPr>
          <w:rFonts w:hint="eastAsia" w:ascii="Times New Roman" w:hAnsi="Times New Roman" w:eastAsia="楷体" w:cs="Times New Roman"/>
          <w:sz w:val="28"/>
          <w:szCs w:val="28"/>
          <w:lang w:val="en-US" w:eastAsia="zh-CN"/>
        </w:rPr>
        <w:t>27</w:t>
      </w:r>
      <w:r>
        <w:rPr>
          <w:rFonts w:ascii="Times New Roman" w:hAnsi="Times New Roman" w:eastAsia="楷体" w:cs="Times New Roman"/>
          <w:sz w:val="28"/>
          <w:szCs w:val="28"/>
        </w:rPr>
        <w:t>日在灵丘县第十七届人民代表大会第三次会议上</w:t>
      </w:r>
    </w:p>
    <w:p>
      <w:pPr>
        <w:spacing w:before="156" w:beforeLines="50"/>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灵丘县人民检察院检察长</w:t>
      </w:r>
      <w:r>
        <w:rPr>
          <w:rFonts w:ascii="Times New Roman" w:hAnsi="Times New Roman" w:eastAsia="楷体_GB2312" w:cs="Times New Roman"/>
          <w:kern w:val="0"/>
          <w:sz w:val="32"/>
          <w:szCs w:val="32"/>
        </w:rPr>
        <w:t xml:space="preserve">   宫云涵</w:t>
      </w:r>
    </w:p>
    <w:p>
      <w:pPr>
        <w:snapToGrid w:val="0"/>
        <w:spacing w:line="660" w:lineRule="exact"/>
        <w:jc w:val="center"/>
        <w:rPr>
          <w:rFonts w:ascii="Times New Roman" w:hAnsi="Times New Roman" w:eastAsia="仿宋_GB2312" w:cs="Times New Roman"/>
          <w:sz w:val="32"/>
          <w:szCs w:val="32"/>
        </w:rPr>
      </w:pPr>
    </w:p>
    <w:p>
      <w:pPr>
        <w:spacing w:line="60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t>各位代表：</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现在，我代表灵丘县人民检察院向大会报告工作，请予审议，并请县政协委员和列席人员提出意见。</w:t>
      </w:r>
    </w:p>
    <w:p>
      <w:pPr>
        <w:spacing w:before="218" w:beforeLines="70" w:after="218" w:afterLines="70" w:line="600" w:lineRule="exact"/>
        <w:jc w:val="center"/>
        <w:rPr>
          <w:rFonts w:ascii="Times New Roman" w:hAnsi="Times New Roman" w:eastAsia="黑体" w:cs="Times New Roman"/>
        </w:rPr>
      </w:pPr>
      <w:r>
        <w:rPr>
          <w:rFonts w:hint="eastAsia" w:ascii="Times New Roman" w:hAnsi="Times New Roman" w:eastAsia="黑体" w:cs="Times New Roman"/>
          <w:sz w:val="32"/>
          <w:szCs w:val="32"/>
        </w:rPr>
        <w:t>2021</w:t>
      </w:r>
      <w:r>
        <w:rPr>
          <w:rFonts w:ascii="Times New Roman" w:hAnsi="Times New Roman" w:eastAsia="黑体" w:cs="Times New Roman"/>
          <w:sz w:val="32"/>
          <w:szCs w:val="32"/>
        </w:rPr>
        <w:t>年工作</w:t>
      </w:r>
      <w:r>
        <w:rPr>
          <w:rFonts w:hint="eastAsia" w:ascii="Times New Roman" w:hAnsi="Times New Roman" w:eastAsia="黑体" w:cs="Times New Roman"/>
          <w:sz w:val="32"/>
          <w:szCs w:val="32"/>
        </w:rPr>
        <w:t>回顾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灵丘县人民检察院在县委和市人民检察院的坚强领导下，在县人大及其常委会的有力监督下，在县政府、县政协和社会各界的关心支持下，坚持以习近平新时代中国特色社会主义思想为指导，认真贯彻党的十九大和</w:t>
      </w:r>
      <w:r>
        <w:rPr>
          <w:rFonts w:hint="eastAsia" w:ascii="Times New Roman" w:hAnsi="Times New Roman" w:eastAsia="仿宋_GB2312" w:cs="Times New Roman"/>
          <w:sz w:val="32"/>
          <w:szCs w:val="32"/>
        </w:rPr>
        <w:t>十九届</w:t>
      </w:r>
      <w:r>
        <w:rPr>
          <w:rFonts w:ascii="Times New Roman" w:hAnsi="Times New Roman" w:eastAsia="仿宋_GB2312" w:cs="Times New Roman"/>
          <w:sz w:val="32"/>
          <w:szCs w:val="32"/>
        </w:rPr>
        <w:t>历次全会精神，深入学习习近平总书记“七一”重要讲话精神，围绕打造忠诚</w:t>
      </w:r>
      <w:r>
        <w:rPr>
          <w:rFonts w:hint="eastAsia" w:ascii="Times New Roman" w:hAnsi="Times New Roman" w:eastAsia="仿宋_GB2312" w:cs="Times New Roman"/>
          <w:sz w:val="32"/>
          <w:szCs w:val="32"/>
        </w:rPr>
        <w:t>干净</w:t>
      </w:r>
      <w:r>
        <w:rPr>
          <w:rFonts w:ascii="Times New Roman" w:hAnsi="Times New Roman" w:eastAsia="仿宋_GB2312" w:cs="Times New Roman"/>
          <w:sz w:val="32"/>
          <w:szCs w:val="32"/>
        </w:rPr>
        <w:t>担当的检察铁军这一主线，扎实开展党史学习教育和政法队伍教育整顿，以司法办案为中心，全面落实检察改革要求，忠实履行法律监督职责，不断加强检察队伍建设，为灵丘县经济社会发展提供有力的司法保障，为全市整体检察工作“迈进全省第一方阵”贡献灵丘检察力量</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持续推进政治建设，党的领导贯穿始终</w:t>
      </w:r>
    </w:p>
    <w:p>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楷体_GB2312" w:cs="Times New Roman"/>
          <w:sz w:val="32"/>
          <w:szCs w:val="32"/>
        </w:rPr>
        <w:t>（一）坚持政治理论学习，坚决贯彻党内法规。</w:t>
      </w:r>
      <w:r>
        <w:rPr>
          <w:rFonts w:hint="eastAsia" w:ascii="仿宋_GB2312" w:hAnsi="仿宋_GB2312" w:eastAsia="仿宋_GB2312" w:cs="仿宋_GB2312"/>
          <w:sz w:val="32"/>
          <w:szCs w:val="32"/>
        </w:rPr>
        <w:t>牢牢抓住政治建设这一根本，始终把讲政治贯穿到检察工作全过程。严格落实理论学习制度，进一步教育引导全体干警增强“四个意识”，坚定“四个自信”，做到“两个维护”，拥护“两个确立”。坚决贯彻执行《中国共产党政法工作条例》和重大事项请示报告制度，坚持重大事项向县委、县委政法委请示报告，始终把牢检察机关正确政治方向，把党对检察工作的绝对领导落到实处。</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）开展党史学习</w:t>
      </w:r>
      <w:r>
        <w:rPr>
          <w:rFonts w:hint="eastAsia" w:ascii="Times New Roman" w:hAnsi="Times New Roman" w:eastAsia="楷体_GB2312" w:cs="Times New Roman"/>
          <w:sz w:val="32"/>
          <w:szCs w:val="32"/>
        </w:rPr>
        <w:t>教育</w:t>
      </w:r>
      <w:r>
        <w:rPr>
          <w:rFonts w:ascii="Times New Roman" w:hAnsi="Times New Roman" w:eastAsia="楷体_GB2312" w:cs="Times New Roman"/>
          <w:sz w:val="32"/>
          <w:szCs w:val="32"/>
        </w:rPr>
        <w:t>，筑牢检察红色基因。</w:t>
      </w:r>
      <w:r>
        <w:rPr>
          <w:rFonts w:hint="eastAsia" w:ascii="仿宋_GB2312" w:hAnsi="仿宋_GB2312" w:eastAsia="仿宋_GB2312" w:cs="仿宋_GB2312"/>
          <w:sz w:val="32"/>
          <w:szCs w:val="32"/>
        </w:rPr>
        <w:t>充分利用本县红色教育资源，组织全体干警参观灵丘县平型关大捷纪念馆、前往烈士陵园参加清明祭扫活动、举行建党100周年升旗仪式和重温入党誓词活动，组织学习习近平总书记“七一”重要讲话，集中学习党的十九届六中全会精神和省第十二次党代会精神，将理论学习融入到检察工作日常。活动开展以来，我院共为干警编印、发放学习资料350余册，组织撰写学习教育心得体会80余篇，参加政治轮训30余人次，以“我为群众办实事”活动为载体，结合检察工作实际为群众办实事29件。</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（三）扎实开展教育整顿，打造过硬检察队伍。</w:t>
      </w:r>
      <w:r>
        <w:rPr>
          <w:rFonts w:hint="eastAsia" w:ascii="仿宋_GB2312" w:hAnsi="仿宋_GB2312" w:eastAsia="仿宋_GB2312" w:cs="仿宋_GB2312"/>
          <w:sz w:val="32"/>
          <w:szCs w:val="32"/>
        </w:rPr>
        <w:t>政法队伍教育整顿开展以来，我院严格抓好学习教育、查纠整改、总结提升三个环节各项工作任务，坚持思想发动和政策引导并举、自我查纠与组织核查齐抓，“减存量”与“控增量”双管齐下，集中整治“六大顽瘴痼疾”和其他突出问题，筑牢公正司法“防火墙”。持续践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检察为民</w:t>
      </w:r>
      <w:r>
        <w:rPr>
          <w:rFonts w:ascii="Times New Roman" w:hAnsi="Times New Roman" w:eastAsia="仿宋_GB2312" w:cs="Times New Roman"/>
          <w:sz w:val="32"/>
          <w:szCs w:val="32"/>
        </w:rPr>
        <w:t>办实事”，制定《灵丘县人民检察院充分发挥12309检察服务中心职能的意见》《灵丘县人民检察院关于建立支持公益诉讼信息共享协作机制的意见》等12项规章制度，将践行“我为群众办实事”活动中的好</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经验做法固定下来，形成长效机制。</w:t>
      </w:r>
    </w:p>
    <w:p>
      <w:pPr>
        <w:pStyle w:val="2"/>
        <w:ind w:firstLine="640" w:firstLineChars="200"/>
        <w:rPr>
          <w:rFonts w:eastAsia="仿宋_GB2312"/>
          <w:kern w:val="2"/>
          <w:sz w:val="32"/>
          <w:szCs w:val="32"/>
        </w:rPr>
      </w:pPr>
      <w:r>
        <w:rPr>
          <w:rFonts w:hint="eastAsia" w:ascii="楷体_GB2312" w:hAnsi="楷体_GB2312" w:eastAsia="楷体_GB2312" w:cs="楷体_GB2312"/>
          <w:kern w:val="2"/>
          <w:sz w:val="32"/>
          <w:szCs w:val="32"/>
        </w:rPr>
        <w:t>（四）创建一流政法机关，提升检察服务能力。</w:t>
      </w:r>
      <w:r>
        <w:rPr>
          <w:rFonts w:hint="eastAsia" w:eastAsia="仿宋_GB2312"/>
          <w:kern w:val="2"/>
          <w:sz w:val="32"/>
          <w:szCs w:val="32"/>
        </w:rPr>
        <w:t>积极落实县委县政府工作部署，深入开展“三个一流”创建工作。进一步打造一流服务，建立健全帮办代办制度，为来访群众提供现场指导。将12309检务服务大厅、信访接待大厅、会谈室、检察听证室统一设置并集成业务功能，实现检务工作一窗式受理、一站式办理，真正让群众“进一门，办多事”；进一步打造一流队伍，持续深化政法队伍教育整顿和党史学习教育成果，不断增强干警责任感和使命感，打造一支忠诚、干净、担当的检察队伍；进一步打造一流保障，按照“硬件完备、软件高端、功能齐全”的要求，高标准推进12309检务服务大厅建设。大力提升业务智能化水平，全面推广移动检务应用，充分发挥无人机、司法监管电子手环、同步录音录像仪等移动检务信息化装备优势，为检察办案提供重要技术保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）加强意识形态</w:t>
      </w:r>
      <w:r>
        <w:rPr>
          <w:rFonts w:hint="eastAsia" w:ascii="Times New Roman" w:hAnsi="Times New Roman" w:eastAsia="楷体_GB2312" w:cs="Times New Roman"/>
          <w:sz w:val="32"/>
          <w:szCs w:val="32"/>
        </w:rPr>
        <w:t>工作</w:t>
      </w:r>
      <w:r>
        <w:rPr>
          <w:rFonts w:ascii="Times New Roman" w:hAnsi="Times New Roman" w:eastAsia="楷体_GB2312" w:cs="Times New Roman"/>
          <w:sz w:val="32"/>
          <w:szCs w:val="32"/>
        </w:rPr>
        <w:t>，唱响检察文化强音。</w:t>
      </w:r>
      <w:r>
        <w:rPr>
          <w:rFonts w:ascii="Times New Roman" w:hAnsi="Times New Roman" w:eastAsia="仿宋_GB2312" w:cs="Times New Roman"/>
          <w:sz w:val="32"/>
          <w:szCs w:val="32"/>
        </w:rPr>
        <w:t>严格落实领导班子意识形态工作主体责任，</w:t>
      </w:r>
      <w:r>
        <w:rPr>
          <w:rFonts w:hint="eastAsia" w:ascii="Times New Roman" w:hAnsi="Times New Roman" w:eastAsia="仿宋_GB2312" w:cs="Times New Roman"/>
          <w:sz w:val="32"/>
          <w:szCs w:val="32"/>
        </w:rPr>
        <w:t>不断</w:t>
      </w:r>
      <w:r>
        <w:rPr>
          <w:rFonts w:ascii="Times New Roman" w:hAnsi="Times New Roman" w:eastAsia="仿宋_GB2312" w:cs="Times New Roman"/>
          <w:sz w:val="32"/>
          <w:szCs w:val="32"/>
        </w:rPr>
        <w:t>加强网络宣传阵地建设，聚焦社会群众关切领域，特别是公益诉讼、未成年人保护、优化营商环境等重点工作对外宣传。2021年，我院共通过微信公众</w:t>
      </w:r>
      <w:r>
        <w:rPr>
          <w:rFonts w:hint="eastAsia" w:ascii="Times New Roman" w:hAnsi="Times New Roman" w:eastAsia="仿宋_GB2312" w:cs="Times New Roman"/>
          <w:sz w:val="32"/>
          <w:szCs w:val="32"/>
        </w:rPr>
        <w:t>平台</w:t>
      </w:r>
      <w:r>
        <w:rPr>
          <w:rFonts w:ascii="Times New Roman" w:hAnsi="Times New Roman" w:eastAsia="仿宋_GB2312" w:cs="Times New Roman"/>
          <w:sz w:val="32"/>
          <w:szCs w:val="32"/>
        </w:rPr>
        <w:t>发布消息340余篇，其中原创170余篇，通过宣传让社会各界充分了解本院检察工作开展情况。</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（六）作风建设持续深入，从严治党永不停歇。</w:t>
      </w:r>
      <w:r>
        <w:rPr>
          <w:rFonts w:hint="eastAsia" w:ascii="仿宋_GB2312" w:hAnsi="仿宋_GB2312" w:eastAsia="仿宋_GB2312" w:cs="仿宋_GB2312"/>
          <w:sz w:val="32"/>
          <w:szCs w:val="32"/>
        </w:rPr>
        <w:t>突出日常警示教育，严格落实中央八项规定精神，及时组织干警传达学习各级党委和纪委监委会议精神，经常性进行纪律提醒和警示教育。2021年，我院通过组织干警参观党风廉政教育基地、观看《代价》《警醒》《镜鉴》等警示教育片、参观廉政书画展、举行新任内设机构负责人任前廉政谈话、开展节前提醒谈话等方式，加大对干警监督管理力度，要求干警廉洁从检，严防违反中央八项规定精神等问题发生，努力营造风清气正的政治生态。</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围绕中心彰显担当，服务大局保障民生</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（一）坚决维护社会稳定，主动参与社会治理。</w:t>
      </w:r>
      <w:r>
        <w:rPr>
          <w:rFonts w:hint="eastAsia" w:ascii="仿宋_GB2312" w:hAnsi="仿宋_GB2312" w:eastAsia="仿宋_GB2312" w:cs="仿宋_GB2312"/>
          <w:sz w:val="32"/>
          <w:szCs w:val="32"/>
        </w:rPr>
        <w:t>进一步深化“三大领域”专项工作成效，在不断强化案件办理力度的同时，针对办案过程中发现的社会治理漏洞和行业领域问题，就预防电信网络诈骗、弱势群体权益保护、爆炸物品管理、未成年人保护、涉众经济犯罪预防等方面向有关单位制发检察建议35份；</w:t>
      </w:r>
      <w:r>
        <w:rPr>
          <w:rFonts w:ascii="Times New Roman" w:hAnsi="Times New Roman" w:eastAsia="仿宋_GB2312" w:cs="Times New Roman"/>
          <w:sz w:val="32"/>
          <w:szCs w:val="32"/>
        </w:rPr>
        <w:t>组织开展防范非法集资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预防网络电信诈骗</w:t>
      </w:r>
      <w:r>
        <w:rPr>
          <w:rFonts w:hint="eastAsia" w:ascii="Times New Roman" w:hAnsi="Times New Roman" w:eastAsia="仿宋_GB2312" w:cs="Times New Roman"/>
          <w:sz w:val="32"/>
          <w:szCs w:val="32"/>
        </w:rPr>
        <w:t>、预防毒品犯罪等多个</w:t>
      </w:r>
      <w:r>
        <w:rPr>
          <w:rFonts w:ascii="Times New Roman" w:hAnsi="Times New Roman" w:eastAsia="仿宋_GB2312" w:cs="Times New Roman"/>
          <w:sz w:val="32"/>
          <w:szCs w:val="32"/>
        </w:rPr>
        <w:t>宣传</w:t>
      </w:r>
      <w:r>
        <w:rPr>
          <w:rFonts w:hint="eastAsia" w:ascii="Times New Roman" w:hAnsi="Times New Roman" w:eastAsia="仿宋_GB2312" w:cs="Times New Roman"/>
          <w:sz w:val="32"/>
          <w:szCs w:val="32"/>
        </w:rPr>
        <w:t>活动</w:t>
      </w:r>
      <w:r>
        <w:rPr>
          <w:rFonts w:ascii="Times New Roman" w:hAnsi="Times New Roman" w:eastAsia="仿宋_GB2312" w:cs="Times New Roman"/>
          <w:sz w:val="32"/>
          <w:szCs w:val="32"/>
        </w:rPr>
        <w:t>，共发放宣传资料</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700余份，为60余人次提供法律咨询；贯彻落实“四号检察建议”，就我县窨井盖管理维护等相关问题与县</w:t>
      </w:r>
      <w:r>
        <w:rPr>
          <w:rFonts w:hint="eastAsia" w:ascii="Times New Roman" w:hAnsi="Times New Roman" w:eastAsia="仿宋_GB2312" w:cs="Times New Roman"/>
          <w:sz w:val="32"/>
          <w:szCs w:val="32"/>
        </w:rPr>
        <w:t>公用事业服务中心</w:t>
      </w:r>
      <w:r>
        <w:rPr>
          <w:rFonts w:ascii="Times New Roman" w:hAnsi="Times New Roman" w:eastAsia="仿宋_GB2312" w:cs="Times New Roman"/>
          <w:sz w:val="32"/>
          <w:szCs w:val="32"/>
        </w:rPr>
        <w:t>进行沟通并送达检察建议</w:t>
      </w:r>
      <w:r>
        <w:rPr>
          <w:rFonts w:hint="eastAsia" w:ascii="Times New Roman" w:hAnsi="Times New Roman" w:eastAsia="仿宋_GB2312" w:cs="Times New Roman"/>
          <w:sz w:val="32"/>
          <w:szCs w:val="32"/>
        </w:rPr>
        <w:t>，切实</w:t>
      </w:r>
      <w:r>
        <w:rPr>
          <w:rFonts w:ascii="Times New Roman" w:hAnsi="Times New Roman" w:eastAsia="仿宋_GB2312" w:cs="Times New Roman"/>
          <w:sz w:val="32"/>
          <w:szCs w:val="32"/>
        </w:rPr>
        <w:t>保护人民群众“脚下安全”</w:t>
      </w:r>
      <w:r>
        <w:rPr>
          <w:rFonts w:hint="eastAsia" w:ascii="Times New Roman" w:hAnsi="Times New Roman" w:eastAsia="仿宋_GB2312" w:cs="Times New Roman"/>
          <w:sz w:val="32"/>
          <w:szCs w:val="32"/>
        </w:rPr>
        <w:t>。</w:t>
      </w:r>
    </w:p>
    <w:p>
      <w:pPr>
        <w:spacing w:line="600" w:lineRule="exact"/>
        <w:ind w:firstLine="640" w:firstLineChars="200"/>
      </w:pPr>
      <w:r>
        <w:rPr>
          <w:rFonts w:hint="eastAsia" w:ascii="楷体_GB2312" w:hAnsi="楷体_GB2312" w:eastAsia="楷体_GB2312" w:cs="楷体_GB2312"/>
          <w:sz w:val="32"/>
          <w:szCs w:val="32"/>
        </w:rPr>
        <w:t>（二）营造良好法治环境，护航民营企业发展。</w:t>
      </w:r>
      <w:r>
        <w:rPr>
          <w:rFonts w:hint="eastAsia" w:ascii="仿宋_GB2312" w:hAnsi="仿宋_GB2312" w:eastAsia="仿宋_GB2312" w:cs="仿宋_GB2312"/>
          <w:sz w:val="32"/>
          <w:szCs w:val="32"/>
        </w:rPr>
        <w:t>积极开展送法入企业活动，引导民营企业合法经营、规范发展。通过实地参观企业生产车间，详细询问企业生产情况、经营现状和所遇涉诉难题，深入了解企业司法需求，延伸法律服务触角，形成优化营商环境合力。审慎稳妥办理涉企案件，加强涉企执行监督，依法全面保护民营企业的合法权益。</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（三）有效化解社会矛盾，积极传递“检察温度”。</w:t>
      </w:r>
      <w:r>
        <w:rPr>
          <w:rFonts w:ascii="Times New Roman" w:hAnsi="Times New Roman" w:eastAsia="仿宋_GB2312" w:cs="Times New Roman"/>
          <w:sz w:val="32"/>
          <w:szCs w:val="32"/>
        </w:rPr>
        <w:t>2021年，我院共办理群众信访案件</w:t>
      </w:r>
      <w:r>
        <w:rPr>
          <w:rFonts w:hint="eastAsia" w:ascii="Times New Roman" w:hAnsi="Times New Roman" w:eastAsia="仿宋_GB2312" w:cs="Times New Roman"/>
          <w:sz w:val="32"/>
          <w:szCs w:val="32"/>
        </w:rPr>
        <w:t>47</w:t>
      </w:r>
      <w:r>
        <w:rPr>
          <w:rFonts w:ascii="Times New Roman" w:hAnsi="Times New Roman" w:eastAsia="仿宋_GB2312" w:cs="Times New Roman"/>
          <w:sz w:val="32"/>
          <w:szCs w:val="32"/>
        </w:rPr>
        <w:t>件，办理司法救助类案件</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件。对社会危害性不大、嫌疑人主观恶性较小、犯罪情节轻微的刑事案件，通过召开检察听证会、进行社会调查等方式做好案件双方当事人的矛盾调解、谅解工作。在办理孟某某投放危险物质一案中，我院</w:t>
      </w:r>
      <w:r>
        <w:rPr>
          <w:rFonts w:hint="eastAsia" w:ascii="Times New Roman" w:hAnsi="Times New Roman" w:eastAsia="仿宋_GB2312" w:cs="Times New Roman"/>
          <w:sz w:val="32"/>
          <w:szCs w:val="32"/>
        </w:rPr>
        <w:t>严格</w:t>
      </w:r>
      <w:r>
        <w:rPr>
          <w:rFonts w:ascii="Times New Roman" w:hAnsi="Times New Roman" w:eastAsia="仿宋_GB2312" w:cs="Times New Roman"/>
          <w:sz w:val="32"/>
          <w:szCs w:val="32"/>
        </w:rPr>
        <w:t>贯彻落实宽严相济和少捕慎诉的刑事</w:t>
      </w:r>
      <w:r>
        <w:rPr>
          <w:rFonts w:hint="eastAsia" w:ascii="Times New Roman" w:hAnsi="Times New Roman" w:eastAsia="仿宋_GB2312" w:cs="Times New Roman"/>
          <w:sz w:val="32"/>
          <w:szCs w:val="32"/>
        </w:rPr>
        <w:t>司法</w:t>
      </w:r>
      <w:r>
        <w:rPr>
          <w:rFonts w:ascii="Times New Roman" w:hAnsi="Times New Roman" w:eastAsia="仿宋_GB2312" w:cs="Times New Roman"/>
          <w:sz w:val="32"/>
          <w:szCs w:val="32"/>
        </w:rPr>
        <w:t>政策，对孟某某依法作出相对不起诉决定。</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了解到案件双方</w:t>
      </w:r>
      <w:r>
        <w:rPr>
          <w:rFonts w:hint="eastAsia" w:ascii="Times New Roman" w:hAnsi="Times New Roman" w:eastAsia="仿宋_GB2312" w:cs="Times New Roman"/>
          <w:sz w:val="32"/>
          <w:szCs w:val="32"/>
        </w:rPr>
        <w:t>当事人</w:t>
      </w:r>
      <w:r>
        <w:rPr>
          <w:rFonts w:ascii="Times New Roman" w:hAnsi="Times New Roman" w:eastAsia="仿宋_GB2312" w:cs="Times New Roman"/>
          <w:sz w:val="32"/>
          <w:szCs w:val="32"/>
        </w:rPr>
        <w:t>均生活拮据且孟某某的妻子身患残疾</w:t>
      </w:r>
      <w:r>
        <w:rPr>
          <w:rFonts w:hint="eastAsia" w:ascii="Times New Roman" w:hAnsi="Times New Roman" w:eastAsia="仿宋_GB2312" w:cs="Times New Roman"/>
          <w:sz w:val="32"/>
          <w:szCs w:val="32"/>
        </w:rPr>
        <w:t>后</w:t>
      </w:r>
      <w:r>
        <w:rPr>
          <w:rFonts w:ascii="Times New Roman" w:hAnsi="Times New Roman" w:eastAsia="仿宋_GB2312" w:cs="Times New Roman"/>
          <w:sz w:val="32"/>
          <w:szCs w:val="32"/>
        </w:rPr>
        <w:t>，我院积极组织干警为孟某某进行爱心捐款，并依法为被害人申请了司法救助，</w:t>
      </w:r>
      <w:r>
        <w:rPr>
          <w:rFonts w:hint="eastAsia" w:ascii="Times New Roman" w:hAnsi="Times New Roman" w:eastAsia="仿宋_GB2312" w:cs="Times New Roman"/>
          <w:sz w:val="32"/>
          <w:szCs w:val="32"/>
        </w:rPr>
        <w:t>真正实现</w:t>
      </w:r>
      <w:r>
        <w:rPr>
          <w:rFonts w:ascii="Times New Roman" w:hAnsi="Times New Roman" w:eastAsia="仿宋_GB2312" w:cs="Times New Roman"/>
          <w:sz w:val="32"/>
          <w:szCs w:val="32"/>
        </w:rPr>
        <w:t>司法办案“三个效果”有机统一。</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（四）贯彻“一号检察建议”，法治呵护儿童成长。</w:t>
      </w:r>
      <w:r>
        <w:rPr>
          <w:rFonts w:hint="eastAsia" w:ascii="仿宋_GB2312" w:hAnsi="仿宋_GB2312" w:eastAsia="仿宋_GB2312" w:cs="仿宋_GB2312"/>
          <w:sz w:val="32"/>
          <w:szCs w:val="32"/>
        </w:rPr>
        <w:t>2021年，我院以成立未检办公室为契机，进一步强化未检工作力量，精心打造“青青伞”未检品牌，持续推进未检工作社会支持体系建设，全方位促进未检工作专业化、规范化、社会化建设，为未成年人健康成长提供强有力的司法保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全年共受理涉未成年人审查逮捕案件5件5人，</w:t>
      </w:r>
      <w:r>
        <w:rPr>
          <w:rFonts w:hint="eastAsia" w:ascii="Times New Roman" w:hAnsi="Times New Roman" w:eastAsia="仿宋_GB2312" w:cs="Times New Roman"/>
          <w:sz w:val="32"/>
          <w:szCs w:val="32"/>
        </w:rPr>
        <w:t>批捕4件4人，不捕1件1人。</w:t>
      </w:r>
      <w:r>
        <w:rPr>
          <w:rFonts w:ascii="Times New Roman" w:hAnsi="Times New Roman" w:eastAsia="仿宋_GB2312" w:cs="Times New Roman"/>
          <w:sz w:val="32"/>
          <w:szCs w:val="32"/>
        </w:rPr>
        <w:t>受理审查起诉案件7件7人，不起诉</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人，制发检察建议8份，制发督促监护令6份，开展心理疏导</w:t>
      </w:r>
      <w:r>
        <w:rPr>
          <w:rFonts w:hint="eastAsia" w:ascii="Times New Roman" w:hAnsi="Times New Roman" w:eastAsia="仿宋_GB2312" w:cs="Times New Roman"/>
          <w:sz w:val="32"/>
          <w:szCs w:val="32"/>
        </w:rPr>
        <w:t>56</w:t>
      </w:r>
      <w:r>
        <w:rPr>
          <w:rFonts w:ascii="Times New Roman" w:hAnsi="Times New Roman" w:eastAsia="仿宋_GB2312" w:cs="Times New Roman"/>
          <w:sz w:val="32"/>
          <w:szCs w:val="32"/>
        </w:rPr>
        <w:t>人次，开展家庭教育指导10次，开展社会调查</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组织开展法治进校园活动以及法律宣传活动2</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次，为</w:t>
      </w:r>
      <w:r>
        <w:rPr>
          <w:rFonts w:hint="eastAsia" w:ascii="Times New Roman" w:hAnsi="Times New Roman" w:eastAsia="仿宋_GB2312" w:cs="Times New Roman"/>
          <w:sz w:val="32"/>
          <w:szCs w:val="32"/>
        </w:rPr>
        <w:t>13</w:t>
      </w:r>
      <w:r>
        <w:rPr>
          <w:rFonts w:ascii="Times New Roman" w:hAnsi="Times New Roman" w:eastAsia="仿宋_GB2312" w:cs="Times New Roman"/>
          <w:sz w:val="32"/>
          <w:szCs w:val="32"/>
        </w:rPr>
        <w:t>所中小学的4</w:t>
      </w:r>
      <w:r>
        <w:rPr>
          <w:rFonts w:hint="eastAsia" w:ascii="Times New Roman" w:hAnsi="Times New Roman" w:eastAsia="仿宋_GB2312" w:cs="Times New Roman"/>
          <w:sz w:val="32"/>
          <w:szCs w:val="32"/>
        </w:rPr>
        <w:t>000余</w:t>
      </w:r>
      <w:r>
        <w:rPr>
          <w:rFonts w:ascii="Times New Roman" w:hAnsi="Times New Roman" w:eastAsia="仿宋_GB2312" w:cs="Times New Roman"/>
          <w:sz w:val="32"/>
          <w:szCs w:val="32"/>
        </w:rPr>
        <w:t>名师生开设法律讲堂，发放宣传材料</w:t>
      </w:r>
      <w:r>
        <w:rPr>
          <w:rFonts w:hint="eastAsia" w:ascii="Times New Roman" w:hAnsi="Times New Roman" w:eastAsia="仿宋_GB2312" w:cs="Times New Roman"/>
          <w:sz w:val="32"/>
          <w:szCs w:val="32"/>
        </w:rPr>
        <w:t>1800</w:t>
      </w:r>
      <w:r>
        <w:rPr>
          <w:rFonts w:ascii="Times New Roman" w:hAnsi="Times New Roman" w:eastAsia="仿宋_GB2312" w:cs="Times New Roman"/>
          <w:sz w:val="32"/>
          <w:szCs w:val="32"/>
        </w:rPr>
        <w:t>余份</w:t>
      </w:r>
      <w:r>
        <w:rPr>
          <w:rFonts w:hint="eastAsia" w:ascii="Times New Roman" w:hAnsi="Times New Roman" w:eastAsia="仿宋_GB2312" w:cs="Times New Roman"/>
          <w:sz w:val="32"/>
          <w:szCs w:val="32"/>
        </w:rPr>
        <w:t>，有力保障未成年人安全、健康成长</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强化法律监督职能，维护社会公平正义</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（一）刑事检察工作</w:t>
      </w:r>
    </w:p>
    <w:p>
      <w:pPr>
        <w:spacing w:line="600" w:lineRule="exact"/>
        <w:ind w:firstLine="640" w:firstLineChars="200"/>
      </w:pPr>
      <w:r>
        <w:rPr>
          <w:rFonts w:ascii="Times New Roman" w:hAnsi="Times New Roman" w:eastAsia="仿宋_GB2312" w:cs="Times New Roman"/>
          <w:sz w:val="32"/>
          <w:szCs w:val="32"/>
        </w:rPr>
        <w:t>2021年，共受理审查逮捕</w:t>
      </w:r>
      <w:r>
        <w:rPr>
          <w:rFonts w:hint="eastAsia" w:ascii="Times New Roman" w:hAnsi="Times New Roman" w:eastAsia="仿宋_GB2312" w:cs="Times New Roman"/>
          <w:sz w:val="32"/>
          <w:szCs w:val="32"/>
        </w:rPr>
        <w:t>案件</w:t>
      </w:r>
      <w:r>
        <w:rPr>
          <w:rFonts w:ascii="Times New Roman" w:hAnsi="Times New Roman" w:eastAsia="仿宋_GB2312" w:cs="Times New Roman"/>
          <w:sz w:val="32"/>
          <w:szCs w:val="32"/>
        </w:rPr>
        <w:t>68件94人，批准逮捕42件56人，不捕25件37人，不捕率39.78%；受理审查起诉</w:t>
      </w:r>
      <w:r>
        <w:rPr>
          <w:rFonts w:hint="eastAsia" w:ascii="Times New Roman" w:hAnsi="Times New Roman" w:eastAsia="仿宋_GB2312" w:cs="Times New Roman"/>
          <w:sz w:val="32"/>
          <w:szCs w:val="32"/>
        </w:rPr>
        <w:t>案件</w:t>
      </w:r>
      <w:r>
        <w:rPr>
          <w:rFonts w:ascii="Times New Roman" w:hAnsi="Times New Roman" w:eastAsia="仿宋_GB2312" w:cs="Times New Roman"/>
          <w:sz w:val="32"/>
          <w:szCs w:val="32"/>
        </w:rPr>
        <w:t>89件110人，提起公诉75件101人，不诉11件12人，不诉率11.4%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诉前羁押率57.89%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“案-件”比为1.02，认罪认罚适用率90.27%，确定刑量刑建议提出率100%，</w:t>
      </w:r>
      <w:r>
        <w:rPr>
          <w:rFonts w:hint="eastAsia" w:ascii="Times New Roman" w:hAnsi="Times New Roman" w:eastAsia="仿宋_GB2312" w:cs="Times New Roman"/>
          <w:sz w:val="32"/>
          <w:szCs w:val="32"/>
        </w:rPr>
        <w:t>追赃挽损工作率75%。</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（二）民事行政检察工作</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2021年，共</w:t>
      </w:r>
      <w:r>
        <w:rPr>
          <w:rFonts w:ascii="Times New Roman" w:hAnsi="Times New Roman" w:eastAsia="仿宋_GB2312" w:cs="Times New Roman"/>
          <w:sz w:val="32"/>
          <w:szCs w:val="32"/>
        </w:rPr>
        <w:t>办理民事执行活动监督案件14件、民事审判活动监督案件14件，办理民事生效裁判监督类案件1件；办理行政非诉执行监督案件1件，办理行政执法行为监督案件1件，向行政机关发出社会综合治理行政检察建议1件；办理行政争议实质性化解案件</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件；办理支持弱势群体索求赔偿案件</w:t>
      </w:r>
      <w:r>
        <w:rPr>
          <w:rFonts w:hint="eastAsia" w:ascii="Times New Roman" w:hAnsi="Times New Roman" w:eastAsia="仿宋_GB2312" w:cs="Times New Roman"/>
          <w:sz w:val="32"/>
          <w:szCs w:val="32"/>
        </w:rPr>
        <w:t>42</w:t>
      </w:r>
      <w:r>
        <w:rPr>
          <w:rFonts w:ascii="Times New Roman" w:hAnsi="Times New Roman" w:eastAsia="仿宋_GB2312" w:cs="Times New Roman"/>
          <w:sz w:val="32"/>
          <w:szCs w:val="32"/>
        </w:rPr>
        <w:t>件；</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灵丘县人民法院</w:t>
      </w:r>
      <w:r>
        <w:rPr>
          <w:rFonts w:hint="eastAsia" w:ascii="Times New Roman" w:hAnsi="Times New Roman" w:eastAsia="仿宋_GB2312" w:cs="Times New Roman"/>
          <w:sz w:val="32"/>
          <w:szCs w:val="32"/>
        </w:rPr>
        <w:t>设立检察机关便民服务点</w:t>
      </w:r>
      <w:r>
        <w:rPr>
          <w:rFonts w:ascii="Times New Roman" w:hAnsi="Times New Roman" w:eastAsia="仿宋_GB2312" w:cs="Times New Roman"/>
          <w:sz w:val="32"/>
          <w:szCs w:val="32"/>
        </w:rPr>
        <w:t>，办理支持农民工起诉案件7件，共为农民工讨回欠薪款63688元。</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（三）公益诉讼检察工作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2021年，共办理各类公益诉讼案件90件。向行政机关发出检察建议24件，磋商66件。举行公开听证会1次；公开宣告送达法律文书5件次；拓展办理公共安全、生物安全、赡养类、文物保护等新领域案件12件。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共督促清理各类生活垃圾约130余吨；督促整治违规养殖场1家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拆除违规设置限高设施1处；督促整治违规使用移动扫码支付加油站1家；督促外卖平台依法公示商家经营信息10件次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保护烈士纪念设施2处；保护省</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重点文物保护单位1处；整治扬尘污染企业6家。办理的农村道路设置限高设施影响应急救援通行安全行政公益诉讼案件入选大同市检察机关听证典型案例。</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rPr>
        <w:t>坚持主动接受监督，促进司法公开公正</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（一）依法接受外部监督。</w:t>
      </w:r>
      <w:r>
        <w:rPr>
          <w:rFonts w:hint="eastAsia" w:ascii="仿宋_GB2312" w:hAnsi="仿宋_GB2312" w:eastAsia="仿宋_GB2312" w:cs="仿宋_GB2312"/>
          <w:sz w:val="32"/>
          <w:szCs w:val="32"/>
        </w:rPr>
        <w:t>2021年，我院</w:t>
      </w:r>
      <w:r>
        <w:rPr>
          <w:rFonts w:ascii="Times New Roman" w:hAnsi="Times New Roman" w:eastAsia="仿宋_GB2312" w:cs="Times New Roman"/>
          <w:sz w:val="32"/>
          <w:szCs w:val="32"/>
        </w:rPr>
        <w:t>自觉接受人大、政协及社会各界监督</w:t>
      </w:r>
      <w:r>
        <w:rPr>
          <w:rFonts w:hint="eastAsia" w:ascii="Times New Roman" w:hAnsi="Times New Roman" w:eastAsia="仿宋_GB2312" w:cs="Times New Roman"/>
          <w:sz w:val="32"/>
          <w:szCs w:val="32"/>
        </w:rPr>
        <w:t>，相继</w:t>
      </w:r>
      <w:r>
        <w:rPr>
          <w:rFonts w:ascii="Times New Roman" w:hAnsi="Times New Roman" w:eastAsia="仿宋_GB2312" w:cs="Times New Roman"/>
          <w:sz w:val="32"/>
          <w:szCs w:val="32"/>
        </w:rPr>
        <w:t>在公益诉讼公开听证、检察建议公开送达、撤案监督公开听证、拟不起诉公开听证、不批准逮捕公开听证、文物保护座谈会、检察开放日等工作中邀请人大代表、政协委员共计61人次，向县人大常委会报告检察工作开展情况</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次，在接受监督中更好履行检察职能。</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（二）广泛接受社会监督。</w:t>
      </w:r>
      <w:r>
        <w:rPr>
          <w:rFonts w:ascii="Times New Roman" w:hAnsi="Times New Roman" w:eastAsia="仿宋_GB2312" w:cs="Times New Roman"/>
          <w:sz w:val="32"/>
          <w:szCs w:val="32"/>
        </w:rPr>
        <w:t>我院持续打造“阳光检务”，加大案件信息公开力度，主动公开案件程序性信息</w:t>
      </w:r>
      <w:r>
        <w:rPr>
          <w:rFonts w:hint="eastAsia" w:ascii="Times New Roman" w:hAnsi="Times New Roman" w:eastAsia="仿宋_GB2312" w:cs="Times New Roman"/>
          <w:sz w:val="32"/>
          <w:szCs w:val="32"/>
        </w:rPr>
        <w:t>138</w:t>
      </w:r>
      <w:r>
        <w:rPr>
          <w:rFonts w:ascii="Times New Roman" w:hAnsi="Times New Roman" w:eastAsia="仿宋_GB2312" w:cs="Times New Roman"/>
          <w:sz w:val="32"/>
          <w:szCs w:val="32"/>
        </w:rPr>
        <w:t>件，法律文书</w:t>
      </w:r>
      <w:r>
        <w:rPr>
          <w:rFonts w:hint="eastAsia" w:ascii="Times New Roman" w:hAnsi="Times New Roman" w:eastAsia="仿宋_GB2312" w:cs="Times New Roman"/>
          <w:sz w:val="32"/>
          <w:szCs w:val="32"/>
        </w:rPr>
        <w:t>101</w:t>
      </w:r>
      <w:r>
        <w:rPr>
          <w:rFonts w:ascii="Times New Roman" w:hAnsi="Times New Roman" w:eastAsia="仿宋_GB2312" w:cs="Times New Roman"/>
          <w:sz w:val="32"/>
          <w:szCs w:val="32"/>
        </w:rPr>
        <w:t>份，重大案件信息</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0件，如实记录过问或干预、插手检察办案等重大事项情况</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次，检察工作透明度进一步提升。依托门户网站和微信公众</w:t>
      </w:r>
      <w:r>
        <w:rPr>
          <w:rFonts w:hint="eastAsia" w:ascii="Times New Roman" w:hAnsi="Times New Roman" w:eastAsia="仿宋_GB2312" w:cs="Times New Roman"/>
          <w:sz w:val="32"/>
          <w:szCs w:val="32"/>
        </w:rPr>
        <w:t>平台</w:t>
      </w:r>
      <w:r>
        <w:rPr>
          <w:rFonts w:ascii="Times New Roman" w:hAnsi="Times New Roman" w:eastAsia="仿宋_GB2312" w:cs="Times New Roman"/>
          <w:sz w:val="32"/>
          <w:szCs w:val="32"/>
        </w:rPr>
        <w:t>等新媒体平台，同步推送检察工作信息</w:t>
      </w:r>
      <w:r>
        <w:rPr>
          <w:rFonts w:hint="eastAsia" w:ascii="Times New Roman" w:hAnsi="Times New Roman" w:eastAsia="仿宋_GB2312" w:cs="Times New Roman"/>
          <w:sz w:val="32"/>
          <w:szCs w:val="32"/>
        </w:rPr>
        <w:t>40</w:t>
      </w:r>
      <w:r>
        <w:rPr>
          <w:rFonts w:ascii="Times New Roman" w:hAnsi="Times New Roman" w:eastAsia="仿宋_GB2312" w:cs="Times New Roman"/>
          <w:sz w:val="32"/>
          <w:szCs w:val="32"/>
        </w:rPr>
        <w:t>余条，公开办案数据</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条，让检察权在阳光下运行。加强检律互动，接待律师</w:t>
      </w:r>
      <w:r>
        <w:rPr>
          <w:rFonts w:hint="eastAsia" w:ascii="Times New Roman" w:hAnsi="Times New Roman" w:eastAsia="仿宋_GB2312" w:cs="Times New Roman"/>
          <w:sz w:val="32"/>
          <w:szCs w:val="32"/>
        </w:rPr>
        <w:t>27</w:t>
      </w:r>
      <w:r>
        <w:rPr>
          <w:rFonts w:ascii="Times New Roman" w:hAnsi="Times New Roman" w:eastAsia="仿宋_GB2312" w:cs="Times New Roman"/>
          <w:sz w:val="32"/>
          <w:szCs w:val="32"/>
        </w:rPr>
        <w:t>人次。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各位代表，2021年，灵丘县人民检察院全体检察干警锐意进取、忠诚履职，整体工作健康有序开展，</w:t>
      </w:r>
      <w:r>
        <w:rPr>
          <w:rFonts w:ascii="Times New Roman" w:hAnsi="Times New Roman" w:eastAsia="仿宋_GB2312" w:cs="Times New Roman"/>
          <w:sz w:val="32"/>
          <w:szCs w:val="32"/>
        </w:rPr>
        <w:t>59项业务数据指标共有32项位居全市第一方阵，15项位居第一</w:t>
      </w:r>
      <w:r>
        <w:rPr>
          <w:rFonts w:hint="eastAsia" w:ascii="Times New Roman" w:hAnsi="Times New Roman" w:eastAsia="仿宋_GB2312" w:cs="Times New Roman"/>
          <w:sz w:val="32"/>
          <w:szCs w:val="32"/>
        </w:rPr>
        <w:t>，共获得集体和个人荣誉9个，被全国妇联评为第七届全国维护妇女儿童权益先进集体，</w:t>
      </w:r>
      <w:r>
        <w:rPr>
          <w:rFonts w:hint="eastAsia" w:ascii="仿宋_GB2312" w:hAnsi="仿宋_GB2312" w:eastAsia="仿宋_GB2312" w:cs="仿宋_GB2312"/>
          <w:sz w:val="32"/>
          <w:szCs w:val="32"/>
        </w:rPr>
        <w:t>各项工作成绩的取得来之不易。我们深刻认识到，县委和上级检察院的坚强领导是我们做好检察工作的重要保证，县人大及其常委会的有力监督是我们不断加强和改进工作的不竭动力，县政府、县政协和社会各界的关心、支持、帮助是我们守初心担使命的信心和力量。在此，我代表灵丘县人民检察院，向大家致以崇高的敬意和衷心的感谢!</w:t>
      </w:r>
    </w:p>
    <w:p>
      <w:pPr>
        <w:spacing w:line="600" w:lineRule="exact"/>
        <w:ind w:firstLine="640" w:firstLineChars="200"/>
        <w:rPr>
          <w:sz w:val="32"/>
          <w:szCs w:val="32"/>
        </w:rPr>
      </w:pPr>
      <w:r>
        <w:rPr>
          <w:rFonts w:hint="eastAsia" w:ascii="仿宋_GB2312" w:hAnsi="仿宋_GB2312" w:eastAsia="仿宋_GB2312" w:cs="仿宋_GB2312"/>
          <w:sz w:val="32"/>
          <w:szCs w:val="32"/>
        </w:rPr>
        <w:t>同时，我们也清醒地认识到，新时代灵丘检察工作依然存在许多不足，面临不少困难和挑战。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立足检察职能为大局发展提供的助力不够精准，服务效果、服务发展的贡献度还有一定差距。</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面对新形势新任务，检察理念转变更新不够，纪律作风建设、队伍专业化职业化建设仍需进一步加强。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法律监督主责主业发挥不够充分，与人民群众的期待有一定差距。对这些问题和困难，我们将采取有力措施，切实加以解决。</w:t>
      </w:r>
    </w:p>
    <w:p>
      <w:pPr>
        <w:spacing w:before="218" w:beforeLines="70" w:after="218" w:afterLines="70" w:line="600" w:lineRule="exact"/>
        <w:jc w:val="center"/>
        <w:rPr>
          <w:rFonts w:ascii="Times New Roman" w:hAnsi="Times New Roman" w:eastAsia="仿宋" w:cs="Times New Roman"/>
          <w:sz w:val="32"/>
          <w:szCs w:val="32"/>
        </w:rPr>
      </w:pPr>
      <w:r>
        <w:rPr>
          <w:rFonts w:hint="eastAsia" w:ascii="Times New Roman" w:hAnsi="Times New Roman" w:eastAsia="黑体" w:cs="Times New Roman"/>
          <w:sz w:val="32"/>
          <w:szCs w:val="32"/>
        </w:rPr>
        <w:t>2022</w:t>
      </w:r>
      <w:r>
        <w:rPr>
          <w:rFonts w:ascii="Times New Roman" w:hAnsi="Times New Roman" w:eastAsia="黑体" w:cs="Times New Roman"/>
          <w:sz w:val="32"/>
          <w:szCs w:val="32"/>
        </w:rPr>
        <w:t>年工作安排</w:t>
      </w:r>
    </w:p>
    <w:p>
      <w:pPr>
        <w:spacing w:line="600" w:lineRule="exact"/>
        <w:ind w:firstLine="640"/>
        <w:rPr>
          <w:rFonts w:ascii="黑体" w:hAnsi="黑体" w:eastAsia="黑体"/>
          <w:sz w:val="32"/>
          <w:szCs w:val="32"/>
        </w:rPr>
      </w:pP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是党的二十大召开之年，也是山西全方位推动高质量发展的关键之年，聚焦市委“奋斗两个五年，跨入第一方阵”宏伟蓝图和市检察院“站稳全省第一梯队，跨入全国第一方阵”奋斗目标，我们今后一个时期的总体思路是：</w:t>
      </w:r>
      <w:r>
        <w:rPr>
          <w:rFonts w:hint="eastAsia" w:ascii="黑体" w:hAnsi="黑体" w:eastAsia="黑体"/>
          <w:sz w:val="32"/>
          <w:szCs w:val="32"/>
        </w:rPr>
        <w:t>坚持以习近平新时代中国特色社会主义思想为指导，全面贯彻习近平法治思想，深入贯彻党的十九届六中全会精神，大力弘扬伟大建党精神，坚定捍卫“两个确立”，坚决做到“两个维护”，抓住服务保障党的二十大顺利召开这条主线，把握以检察工作高质量发展服务经济社会高质量发展这个主题，始终坚持党的绝对领导，坚持以人民为中心的发展思想，对标“质量建设年”要求，坚决贯彻中央《意见》和省委《实施意见》，敢于监督、善于监督、勇于自我监督，全力推动“四大检察”全面协调充分发展，全面提升法律监督质效，以高质量检察履职为建设更高水平的平安灵丘、法治灵丘作出更新更多的检察贡献，为推动灵丘县经济社会高质量转型发展提供更优更强的检察服务，以实际行动迎接党的二十大胜利召开。</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一是坚持党的领导。</w:t>
      </w:r>
      <w:r>
        <w:rPr>
          <w:rFonts w:hint="eastAsia" w:ascii="仿宋_GB2312" w:hAnsi="仿宋_GB2312" w:eastAsia="仿宋_GB2312" w:cs="仿宋_GB2312"/>
          <w:sz w:val="32"/>
          <w:szCs w:val="32"/>
        </w:rPr>
        <w:t>坚持党对检察工作的绝对领导，坚持讲政治与抓业务有机统一，不断加强党的政治建设，全面贯彻习近平法治思想，全面履行从严管党治检主体责任，全面落实意识形态工作责任制。坚持总体国家安全观，坚定不移维护国家政治安全和社会发展大局稳定，坚持常态化开展扫黑除恶斗争，坚持“严”的主基调，始终保持对各类刑事犯罪的打击威慑和高压态势，以高质量检察履职助推平安灵丘、法治灵丘建设，为党的二十大顺利召开营造安全稳定的环境。</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二是主动接受监督。</w:t>
      </w:r>
      <w:r>
        <w:rPr>
          <w:rFonts w:hint="eastAsia" w:ascii="仿宋_GB2312" w:hAnsi="仿宋_GB2312" w:eastAsia="仿宋_GB2312" w:cs="仿宋_GB2312"/>
          <w:sz w:val="32"/>
          <w:szCs w:val="32"/>
        </w:rPr>
        <w:t>坚持把接受监督作为改进和加强检察工作的重要途径，自觉接受人大监督，主动向县委和人大报告工作，不断增强检察工作的透明度。进一步做好代表委员联络工作，密切检察机关与人民群众的联系，积极听取和接受人大、政协以及社会各界对检察机关、检察工作以及检察队伍的意见和建议并认真落实。进一步加大办理代表委员意见建议的力度，积极办理好议案、建议和提案以及转交案件，将办理工作转化为推动检察工作创新发展的重要抓手，通过办好一件实现解决一方面的问题，努力向代表委员和人民群众交上一份满意的检察答卷。</w:t>
      </w:r>
    </w:p>
    <w:p>
      <w:pPr>
        <w:spacing w:line="600" w:lineRule="exact"/>
        <w:ind w:firstLine="640" w:firstLineChars="200"/>
      </w:pPr>
      <w:r>
        <w:rPr>
          <w:rFonts w:hint="eastAsia" w:ascii="楷体_GB2312" w:hAnsi="楷体_GB2312" w:eastAsia="楷体_GB2312" w:cs="楷体_GB2312"/>
          <w:sz w:val="32"/>
          <w:szCs w:val="32"/>
        </w:rPr>
        <w:t>三是充分履行职能。</w:t>
      </w:r>
      <w:r>
        <w:rPr>
          <w:rFonts w:hint="eastAsia" w:ascii="仿宋_GB2312" w:hAnsi="仿宋_GB2312" w:eastAsia="仿宋_GB2312" w:cs="仿宋_GB2312"/>
          <w:sz w:val="32"/>
          <w:szCs w:val="32"/>
        </w:rPr>
        <w:t>对标“质量建设年”要求，瞄定市院“站稳全省第一梯队，跨入全国第一方阵”目标持续贡献灵丘检察力量，以更高标准、更严要求自我加压，全面充分履行“四大检察”职能，聚焦核心工作、坚持固本强基、补齐短板弱项、提升工作质效，以求极致的精神助推灵丘检察工作高质量发展。</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四是服务保障大局。</w:t>
      </w:r>
      <w:r>
        <w:rPr>
          <w:rFonts w:hint="eastAsia" w:ascii="仿宋_GB2312" w:hAnsi="仿宋_GB2312" w:eastAsia="仿宋_GB2312" w:cs="仿宋_GB2312"/>
          <w:sz w:val="32"/>
          <w:szCs w:val="32"/>
        </w:rPr>
        <w:t>坚持把政治自觉、法治自觉、检察自觉融入司法办案全过程，围绕县委县政府工作部署，对照人民群众的新要求新期盼，立足检察工作新形势，坚持守正创新，努力解决履职办案突出问题。坚定不移履行服务大局的基本职责，依法平等保护企业合法权益，坚决防范化解经济金融风险，在服务保障大局、营造发展环境、促进产业升级、维护社会稳定、守护生态环境、做好疫情防控等重点工作上找准检察工作的落脚点和发力点，为经济社会持续健康发展提供有力法治保障。</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五是做好为民实事。</w:t>
      </w:r>
      <w:r>
        <w:rPr>
          <w:rFonts w:hint="eastAsia" w:ascii="仿宋_GB2312" w:hAnsi="仿宋_GB2312" w:eastAsia="仿宋_GB2312" w:cs="仿宋_GB2312"/>
          <w:sz w:val="32"/>
          <w:szCs w:val="32"/>
        </w:rPr>
        <w:t>切实办好群众身边的“小案”，努力让人民群众在每一起司法案件中感受到公平正义。严格落实认罪认罚从宽制度、“少捕慎诉慎押”刑事司法政策，切实增强社会内生稳定。持续办好群众信访“件件有回复”、行政争议实质性化解工作，常态化开展检察公开听证。认真落实“一号检察建议”，加大未成年人综合司法保护力度。扎实办好司法救助、支持起诉、维护农民工合法权益等检察为民实事，切实解决好人民群众急难愁盼问题。</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六是深化队伍建设。</w:t>
      </w:r>
      <w:r>
        <w:rPr>
          <w:rFonts w:hint="eastAsia" w:ascii="仿宋_GB2312" w:hAnsi="仿宋_GB2312" w:eastAsia="仿宋_GB2312" w:cs="仿宋_GB2312"/>
          <w:sz w:val="32"/>
          <w:szCs w:val="32"/>
        </w:rPr>
        <w:t>坚持全面从严治党、从严治检“永远在路上”，坚持刀刃向内，坚决清除害群之马，严格落实防止干预司法“三个规定”，狠抓中央八项规定精神落实，以钉钉子精神不断把作风建设引向深入。坚定不移地巩固、深化、拓展政法队伍教育整顿成果，努力锻造革命化、专业化、职业化检察队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天仪再始、岁律更新。新征程上，我们将高举习近平新时代中国特色社会主义伟大旗帜，在县委和市检察院的正确领导下，在县人大及其常委会的有力监督下，在县政府、县政协及社会各界的大力支持下，认真落实本次会议精神，为全县经济持续健康发展提供有力的司法保障，努力向全县人民交出不负历史、不负时代、不负人民的检察答卷，以实际行动迎接党的二十大胜利召开！</w:t>
      </w:r>
    </w:p>
    <w:p>
      <w:pPr>
        <w:spacing w:line="600" w:lineRule="exact"/>
        <w:ind w:firstLine="640" w:firstLineChars="200"/>
        <w:rPr>
          <w:rFonts w:ascii="Times New Roman" w:hAnsi="Times New Roman" w:eastAsia="黑体" w:cs="Times New Roman"/>
          <w:color w:val="000000"/>
          <w:sz w:val="32"/>
          <w:szCs w:val="32"/>
        </w:rPr>
      </w:pPr>
    </w:p>
    <w:p>
      <w:pPr>
        <w:spacing w:line="600" w:lineRule="exact"/>
        <w:rPr>
          <w:rFonts w:ascii="Times New Roman" w:hAnsi="Times New Roman" w:eastAsia="黑体" w:cs="Times New Roman"/>
          <w:color w:val="000000"/>
          <w:sz w:val="32"/>
          <w:szCs w:val="32"/>
        </w:rPr>
      </w:pPr>
    </w:p>
    <w:p>
      <w:pPr>
        <w:spacing w:line="600" w:lineRule="exact"/>
        <w:rPr>
          <w:rFonts w:ascii="Times New Roman" w:hAnsi="Times New Roman" w:eastAsia="黑体" w:cs="Times New Roman"/>
          <w:color w:val="000000"/>
          <w:sz w:val="32"/>
          <w:szCs w:val="32"/>
        </w:rPr>
      </w:pPr>
    </w:p>
    <w:p>
      <w:pPr>
        <w:spacing w:line="600" w:lineRule="exact"/>
        <w:rPr>
          <w:rFonts w:ascii="Times New Roman" w:hAnsi="Times New Roman" w:eastAsia="黑体" w:cs="Times New Roman"/>
          <w:color w:val="000000"/>
          <w:sz w:val="32"/>
          <w:szCs w:val="32"/>
        </w:rPr>
      </w:pPr>
    </w:p>
    <w:p>
      <w:pPr>
        <w:spacing w:line="600" w:lineRule="exact"/>
        <w:rPr>
          <w:rFonts w:ascii="Times New Roman" w:hAnsi="Times New Roman" w:eastAsia="黑体" w:cs="Times New Roman"/>
          <w:color w:val="000000"/>
          <w:sz w:val="32"/>
          <w:szCs w:val="32"/>
        </w:rPr>
      </w:pPr>
    </w:p>
    <w:p>
      <w:pPr>
        <w:spacing w:line="600" w:lineRule="exact"/>
        <w:rPr>
          <w:rFonts w:ascii="Times New Roman" w:hAnsi="Times New Roman" w:eastAsia="黑体" w:cs="Times New Roman"/>
          <w:color w:val="000000"/>
          <w:sz w:val="32"/>
          <w:szCs w:val="32"/>
        </w:rPr>
      </w:pPr>
    </w:p>
    <w:p>
      <w:pPr>
        <w:spacing w:line="600" w:lineRule="exact"/>
        <w:rPr>
          <w:rFonts w:ascii="Times New Roman" w:hAnsi="Times New Roman" w:eastAsia="黑体" w:cs="Times New Roman"/>
          <w:color w:val="000000"/>
          <w:sz w:val="32"/>
          <w:szCs w:val="32"/>
        </w:rPr>
      </w:pPr>
    </w:p>
    <w:p>
      <w:pPr>
        <w:spacing w:line="600" w:lineRule="exact"/>
        <w:rPr>
          <w:rFonts w:ascii="Times New Roman" w:hAnsi="Times New Roman" w:eastAsia="黑体" w:cs="Times New Roman"/>
          <w:color w:val="000000"/>
          <w:sz w:val="32"/>
          <w:szCs w:val="32"/>
        </w:rPr>
      </w:pPr>
    </w:p>
    <w:p>
      <w:pPr>
        <w:spacing w:line="60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 xml:space="preserve">附件： </w:t>
      </w:r>
    </w:p>
    <w:p>
      <w:pPr>
        <w:spacing w:before="156" w:beforeLines="50" w:after="156" w:afterLines="50"/>
        <w:jc w:val="center"/>
        <w:rPr>
          <w:rFonts w:ascii="Times New Roman" w:hAnsi="Times New Roman" w:eastAsia="黑体" w:cs="Times New Roman"/>
          <w:sz w:val="32"/>
          <w:szCs w:val="32"/>
        </w:rPr>
      </w:pPr>
      <w:r>
        <w:rPr>
          <w:rFonts w:ascii="Times New Roman" w:hAnsi="Times New Roman" w:eastAsia="方正小标宋简体" w:cs="Times New Roman"/>
          <w:sz w:val="44"/>
          <w:szCs w:val="44"/>
        </w:rPr>
        <w:t>报告中有关名词解释</w:t>
      </w:r>
    </w:p>
    <w:p>
      <w:pPr>
        <w:tabs>
          <w:tab w:val="left" w:pos="312"/>
        </w:tabs>
        <w:spacing w:line="61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1、“四大检察”：</w:t>
      </w:r>
      <w:r>
        <w:rPr>
          <w:rFonts w:ascii="Times New Roman" w:hAnsi="Times New Roman" w:eastAsia="仿宋_GB2312" w:cs="Times New Roman"/>
          <w:sz w:val="32"/>
          <w:szCs w:val="32"/>
        </w:rPr>
        <w:t>刑事检察、民事检察、行政检察和公益诉讼检察。</w:t>
      </w:r>
    </w:p>
    <w:p>
      <w:pPr>
        <w:tabs>
          <w:tab w:val="left" w:pos="312"/>
        </w:tabs>
        <w:spacing w:line="61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sz w:val="32"/>
          <w:szCs w:val="32"/>
        </w:rPr>
        <w:t>2、“十大业务”：</w:t>
      </w:r>
      <w:r>
        <w:rPr>
          <w:rFonts w:ascii="Times New Roman" w:hAnsi="Times New Roman" w:eastAsia="仿宋_GB2312" w:cs="Times New Roman"/>
          <w:bCs/>
          <w:sz w:val="32"/>
          <w:szCs w:val="32"/>
        </w:rPr>
        <w:t>指普通刑事犯罪检察业务、重大刑事犯罪检察业务、职务犯罪检察业务、经济金融犯罪检察业务、刑事执行和司法人员职务犯罪检察业务、民事检察业务、行政检察业务、公益诉讼检察业务、未成年人检察业务、控告申诉检察业务。</w:t>
      </w:r>
    </w:p>
    <w:p>
      <w:pPr>
        <w:tabs>
          <w:tab w:val="left" w:pos="312"/>
        </w:tabs>
        <w:spacing w:line="61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3</w:t>
      </w:r>
      <w:r>
        <w:rPr>
          <w:rFonts w:ascii="Times New Roman" w:hAnsi="Times New Roman" w:eastAsia="仿宋_GB2312" w:cs="Times New Roman"/>
          <w:b/>
          <w:sz w:val="32"/>
          <w:szCs w:val="32"/>
        </w:rPr>
        <w:t>、“一号检察建议”：</w:t>
      </w:r>
      <w:r>
        <w:rPr>
          <w:rFonts w:ascii="Times New Roman" w:hAnsi="Times New Roman" w:eastAsia="仿宋_GB2312" w:cs="Times New Roman"/>
          <w:sz w:val="32"/>
          <w:szCs w:val="32"/>
        </w:rPr>
        <w:t>2018年10月19日，最高检向教育部发送《中华人民共和国最高人民检察院检察建议书》，针对校园安全管理规定执行不严格、教职工队伍管理不到位，以及儿童和学生法治教育、预防性侵害教育缺位等问题提出3项具体建议。</w:t>
      </w:r>
    </w:p>
    <w:p>
      <w:pPr>
        <w:tabs>
          <w:tab w:val="left" w:pos="312"/>
        </w:tabs>
        <w:spacing w:line="610" w:lineRule="exact"/>
        <w:ind w:firstLine="643" w:firstLineChars="200"/>
        <w:rPr>
          <w:rFonts w:eastAsia="仿宋_GB2312"/>
        </w:rPr>
      </w:pPr>
      <w:r>
        <w:rPr>
          <w:rFonts w:hint="eastAsia" w:ascii="Times New Roman" w:hAnsi="Times New Roman" w:eastAsia="仿宋_GB2312" w:cs="Times New Roman"/>
          <w:b/>
          <w:bCs/>
          <w:sz w:val="32"/>
          <w:szCs w:val="32"/>
        </w:rPr>
        <w:t>4</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四号检察建议</w:t>
      </w:r>
      <w:r>
        <w:rPr>
          <w:rFonts w:ascii="Times New Roman" w:hAnsi="Times New Roman" w:eastAsia="仿宋_GB2312" w:cs="Times New Roman"/>
          <w:b/>
          <w:sz w:val="32"/>
          <w:szCs w:val="32"/>
        </w:rPr>
        <w:t>”：</w:t>
      </w:r>
      <w:r>
        <w:rPr>
          <w:rFonts w:hint="eastAsia" w:ascii="Times New Roman" w:hAnsi="Times New Roman" w:eastAsia="仿宋_GB2312" w:cs="Times New Roman"/>
          <w:sz w:val="32"/>
          <w:szCs w:val="32"/>
        </w:rPr>
        <w:t>2020年4月28日，最高人民检察院为推动有关部门重视窨井盖安全问题，消除公共安全隐患，向住房和城乡建设部发出“四号检察建议”，同时抄送相关职能单位，其出发点在于推动城市基础设施安全建设，维护人民群众生命财产安全。</w:t>
      </w:r>
    </w:p>
    <w:p>
      <w:pPr>
        <w:tabs>
          <w:tab w:val="left" w:pos="312"/>
        </w:tabs>
        <w:spacing w:line="61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、“三个规定”：</w:t>
      </w:r>
      <w:r>
        <w:rPr>
          <w:rFonts w:ascii="Times New Roman" w:hAnsi="Times New Roman" w:eastAsia="仿宋_GB2312" w:cs="Times New Roman"/>
          <w:sz w:val="32"/>
          <w:szCs w:val="32"/>
        </w:rPr>
        <w:t>2015年，中共中央办公厅、国务院办公厅、中央政法委、最高人民法院、最高人民检察院、公安部、国家安全部、司法部先后出台《领导干部干预司法活动、插手具体案件处理的记录、通报和责任追究规定》《司法机关内部人员过问案件的记录和责任追究规定》《关于进一步规范司法人员与当事人、律师、特殊关系人、中介组织接触交往行为的若干规定》，简称为“三个规定”。</w:t>
      </w:r>
    </w:p>
    <w:p>
      <w:pPr>
        <w:pStyle w:val="2"/>
        <w:spacing w:line="61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6、中央《意见》：</w:t>
      </w:r>
      <w:r>
        <w:rPr>
          <w:rFonts w:hint="eastAsia" w:ascii="仿宋_GB2312" w:hAnsi="仿宋_GB2312" w:eastAsia="仿宋_GB2312" w:cs="仿宋_GB2312"/>
          <w:sz w:val="32"/>
          <w:szCs w:val="32"/>
        </w:rPr>
        <w:t>《中共中央关于加强新时代检察机关法律监督工作的意见》</w:t>
      </w:r>
    </w:p>
    <w:p>
      <w:pPr>
        <w:pStyle w:val="2"/>
        <w:spacing w:line="61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7、省委《实施意见》：</w:t>
      </w:r>
      <w:r>
        <w:rPr>
          <w:rFonts w:hint="eastAsia" w:ascii="仿宋_GB2312" w:hAnsi="仿宋_GB2312" w:eastAsia="仿宋_GB2312" w:cs="仿宋_GB2312"/>
          <w:sz w:val="32"/>
          <w:szCs w:val="32"/>
        </w:rPr>
        <w:t>《中共山西省委关于加强新时代检察机关法律监督工作的实施意见》</w:t>
      </w:r>
    </w:p>
    <w:p>
      <w:pPr>
        <w:pStyle w:val="2"/>
        <w:spacing w:line="61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8、“案-件”比：</w:t>
      </w:r>
      <w:r>
        <w:rPr>
          <w:rFonts w:hint="eastAsia" w:ascii="仿宋_GB2312" w:hAnsi="仿宋_GB2312" w:eastAsia="仿宋_GB2312" w:cs="仿宋_GB2312"/>
          <w:sz w:val="32"/>
          <w:szCs w:val="32"/>
        </w:rPr>
        <w:t>指检察机关在办理刑事案件中，受理审查起诉的“案”数与检察机关在审查案件时因退查、延期等因素所产生的“件”数之间的比。</w:t>
      </w:r>
    </w:p>
    <w:p>
      <w:pPr>
        <w:pStyle w:val="2"/>
        <w:ind w:firstLine="643" w:firstLineChars="200"/>
        <w:rPr>
          <w:rFonts w:ascii="仿宋_GB2312" w:hAnsi="仿宋_GB2312" w:eastAsia="仿宋_GB2312" w:cs="仿宋_GB2312"/>
          <w:b/>
          <w:bCs/>
          <w:sz w:val="32"/>
          <w:szCs w:val="32"/>
        </w:rPr>
      </w:pPr>
    </w:p>
    <w:p>
      <w:pPr>
        <w:pStyle w:val="2"/>
      </w:pPr>
    </w:p>
    <w:p>
      <w:pPr>
        <w:pStyle w:val="2"/>
      </w:pPr>
    </w:p>
    <w:p>
      <w:pPr>
        <w:pStyle w:val="2"/>
      </w:pPr>
    </w:p>
    <w:p>
      <w:pPr>
        <w:pStyle w:val="2"/>
      </w:pPr>
    </w:p>
    <w:p>
      <w:pPr>
        <w:pStyle w:val="2"/>
        <w:ind w:left="0"/>
      </w:pPr>
    </w:p>
    <w:p>
      <w:pPr>
        <w:pStyle w:val="2"/>
        <w:ind w:left="0"/>
      </w:pPr>
    </w:p>
    <w:p>
      <w:pPr>
        <w:pStyle w:val="2"/>
      </w:pPr>
    </w:p>
    <w:p>
      <w:pPr>
        <w:pStyle w:val="2"/>
      </w:pPr>
    </w:p>
    <w:p>
      <w:pPr>
        <w:pStyle w:val="2"/>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bookmarkStart w:id="0" w:name="_GoBack"/>
      <w:bookmarkEnd w:id="0"/>
    </w:p>
    <w:p>
      <w:pPr>
        <w:pStyle w:val="2"/>
        <w:rPr>
          <w:rFonts w:hint="eastAsia"/>
        </w:rPr>
      </w:pPr>
    </w:p>
    <w:p>
      <w:pPr>
        <w:pStyle w:val="2"/>
        <w:rPr>
          <w:rFonts w:hint="eastAsia"/>
        </w:rPr>
      </w:pPr>
    </w:p>
    <w:p>
      <w:pPr>
        <w:pStyle w:val="2"/>
      </w:pPr>
    </w:p>
    <w:p>
      <w:pPr>
        <w:pStyle w:val="2"/>
        <w:snapToGrid w:val="0"/>
        <w:spacing w:line="240" w:lineRule="auto"/>
        <w:ind w:left="0"/>
        <w:rPr>
          <w:sz w:val="40"/>
        </w:rPr>
      </w:pPr>
    </w:p>
    <w:p>
      <w:pPr>
        <w:pStyle w:val="5"/>
        <w:spacing w:line="560" w:lineRule="exact"/>
        <w:rPr>
          <w:color w:val="000000"/>
        </w:rPr>
      </w:pPr>
      <w:r>
        <w:rPr>
          <w:color w:val="000000"/>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48895</wp:posOffset>
                </wp:positionV>
                <wp:extent cx="5255895" cy="635"/>
                <wp:effectExtent l="0" t="0" r="20955" b="3746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25589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3.85pt;height:0.05pt;width:413.85pt;z-index:251659264;mso-width-relative:page;mso-height-relative:page;" filled="f" stroked="t" coordsize="21600,21600" o:gfxdata="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KJzN7T&#10;AAAABAEAAA8AAAAAAAAAAQAgAAAAIgAAAGRycy9kb3ducmV2LnhtbFBLAQIUABQAAAAIAIdO4kAK&#10;LoNT7AEAALsDAAAOAAAAAAAAAAEAIAAAACIBAABkcnMvZTJvRG9jLnhtbFBLBQYAAAAABgAGAFkB&#10;AACABQAAAAA=&#10;">
                <v:fill on="f" focussize="0,0"/>
                <v:stroke weight="1pt" color="#000000" joinstyle="round"/>
                <v:imagedata o:title=""/>
                <o:lock v:ext="edit" aspectratio="f"/>
              </v:line>
            </w:pict>
          </mc:Fallback>
        </mc:AlternateContent>
      </w:r>
      <w:r>
        <w:rPr>
          <w:rFonts w:hint="eastAsia"/>
          <w:color w:val="000000"/>
          <w:szCs w:val="32"/>
        </w:rPr>
        <w:t>县十七届人大三</w:t>
      </w:r>
      <w:r>
        <w:rPr>
          <w:rFonts w:hint="eastAsia"/>
          <w:color w:val="000000"/>
        </w:rPr>
        <w:t>次会议秘书处</w:t>
      </w:r>
      <w:r>
        <w:rPr>
          <w:color w:val="00000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392430</wp:posOffset>
                </wp:positionV>
                <wp:extent cx="5255895" cy="635"/>
                <wp:effectExtent l="0" t="0" r="20955" b="3746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25589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30.9pt;height:0.05pt;width:413.85pt;z-index:251660288;mso-width-relative:page;mso-height-relative:page;" filled="f" stroked="t" coordsize="21600,21600" o:allowincell="f" o:gfxdata="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3j+&#10;s9UAAAAGAQAADwAAAAAAAAABACAAAAAiAAAAZHJzL2Rvd25yZXYueG1sUEsBAhQAFAAAAAgAh07i&#10;QJ8A6/nsAQAAuwMAAA4AAAAAAAAAAQAgAAAAJAEAAGRycy9lMm9Eb2MueG1sUEsFBgAAAAAGAAYA&#10;WQEAAIIFAAAAAA==&#10;">
                <v:fill on="f" focussize="0,0"/>
                <v:stroke weight="1pt" color="#000000" joinstyle="round"/>
                <v:imagedata o:title=""/>
                <o:lock v:ext="edit" aspectratio="f"/>
              </v:line>
            </w:pict>
          </mc:Fallback>
        </mc:AlternateContent>
      </w:r>
      <w:r>
        <w:rPr>
          <w:rFonts w:hint="eastAsia"/>
          <w:color w:val="000000"/>
        </w:rPr>
        <w:t xml:space="preserve">          </w:t>
      </w:r>
      <w:r>
        <w:rPr>
          <w:rFonts w:hint="eastAsia" w:ascii="仿宋_GB2312"/>
          <w:color w:val="000000"/>
        </w:rPr>
        <w:t xml:space="preserve">  </w:t>
      </w:r>
      <w:r>
        <w:rPr>
          <w:color w:val="000000"/>
        </w:rPr>
        <w:t>202</w:t>
      </w:r>
      <w:r>
        <w:rPr>
          <w:rFonts w:hint="eastAsia"/>
          <w:color w:val="000000"/>
        </w:rPr>
        <w:t>2</w:t>
      </w:r>
      <w:r>
        <w:rPr>
          <w:rFonts w:hint="eastAsia" w:ascii="仿宋_GB2312"/>
          <w:color w:val="000000"/>
        </w:rPr>
        <w:t>年</w:t>
      </w:r>
      <w:r>
        <w:rPr>
          <w:rFonts w:hint="eastAsia"/>
          <w:color w:val="000000"/>
          <w:lang w:val="en-US" w:eastAsia="zh-CN"/>
        </w:rPr>
        <w:t>5</w:t>
      </w:r>
      <w:r>
        <w:rPr>
          <w:rFonts w:hint="eastAsia" w:ascii="仿宋_GB2312"/>
          <w:color w:val="000000"/>
        </w:rPr>
        <w:t>月印</w:t>
      </w:r>
    </w:p>
    <w:sectPr>
      <w:footerReference r:id="rId3" w:type="default"/>
      <w:footerReference r:id="rId4" w:type="even"/>
      <w:pgSz w:w="11906" w:h="16838"/>
      <w:pgMar w:top="1588" w:right="1814" w:bottom="1588" w:left="1814"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   \* MERGEFORMAT </w:instrText>
    </w:r>
    <w:r>
      <w:rPr>
        <w:rFonts w:asciiTheme="majorEastAsia" w:hAnsiTheme="majorEastAsia" w:eastAsiaTheme="majorEastAsia"/>
        <w:sz w:val="24"/>
      </w:rPr>
      <w:fldChar w:fldCharType="separate"/>
    </w:r>
    <w:r>
      <w:rPr>
        <w:rFonts w:asciiTheme="majorEastAsia" w:hAnsiTheme="majorEastAsia" w:eastAsiaTheme="majorEastAsia"/>
        <w:sz w:val="24"/>
      </w:rPr>
      <w:t>13</w:t>
    </w:r>
    <w:r>
      <w:rPr>
        <w:rFonts w:asciiTheme="majorEastAsia" w:hAnsiTheme="majorEastAsia" w:eastAsiaTheme="majorEastAsia"/>
        <w:sz w:val="24"/>
      </w:rPr>
      <w:fldChar w:fldCharType="end"/>
    </w:r>
    <w:r>
      <w:rPr>
        <w:rFonts w:hint="eastAsia" w:asciiTheme="majorEastAsia" w:hAnsiTheme="majorEastAsia" w:eastAsiaTheme="majorEastAs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rPr>
      <w:t>14</w:t>
    </w:r>
    <w:r>
      <w:rPr>
        <w:rFonts w:asciiTheme="minorEastAsia" w:hAnsiTheme="minorEastAsia" w:eastAsiaTheme="minorEastAsia"/>
        <w:sz w:val="24"/>
      </w:rPr>
      <w:fldChar w:fldCharType="end"/>
    </w:r>
    <w:r>
      <w:rPr>
        <w:rFonts w:hint="eastAsia" w:asciiTheme="minorEastAsia" w:hAnsiTheme="minorEastAsia" w:eastAsiaTheme="minorEastAsia"/>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7B"/>
    <w:rsid w:val="000F580A"/>
    <w:rsid w:val="001A7B7B"/>
    <w:rsid w:val="0028301F"/>
    <w:rsid w:val="003D06CC"/>
    <w:rsid w:val="0051271F"/>
    <w:rsid w:val="00554B8A"/>
    <w:rsid w:val="00717505"/>
    <w:rsid w:val="007E72E1"/>
    <w:rsid w:val="00AE17CA"/>
    <w:rsid w:val="04723F7F"/>
    <w:rsid w:val="057D5847"/>
    <w:rsid w:val="087D5C28"/>
    <w:rsid w:val="09C132F9"/>
    <w:rsid w:val="0A08525E"/>
    <w:rsid w:val="0C0E46E5"/>
    <w:rsid w:val="10753310"/>
    <w:rsid w:val="108E02D5"/>
    <w:rsid w:val="11A1361C"/>
    <w:rsid w:val="121E0A53"/>
    <w:rsid w:val="163C4896"/>
    <w:rsid w:val="17F503BB"/>
    <w:rsid w:val="18722C0F"/>
    <w:rsid w:val="19AF1B35"/>
    <w:rsid w:val="1A9D679A"/>
    <w:rsid w:val="1AE347B5"/>
    <w:rsid w:val="1C911BCB"/>
    <w:rsid w:val="1D331418"/>
    <w:rsid w:val="1E601647"/>
    <w:rsid w:val="20213469"/>
    <w:rsid w:val="226B17D0"/>
    <w:rsid w:val="2293271D"/>
    <w:rsid w:val="23BB51D6"/>
    <w:rsid w:val="27A9290F"/>
    <w:rsid w:val="2D805DEE"/>
    <w:rsid w:val="2DBA24CB"/>
    <w:rsid w:val="2DF6392A"/>
    <w:rsid w:val="2EAB0C15"/>
    <w:rsid w:val="31B930AC"/>
    <w:rsid w:val="32301843"/>
    <w:rsid w:val="337F44C4"/>
    <w:rsid w:val="375359FA"/>
    <w:rsid w:val="38412979"/>
    <w:rsid w:val="392D7B27"/>
    <w:rsid w:val="39595324"/>
    <w:rsid w:val="3A015077"/>
    <w:rsid w:val="3B282809"/>
    <w:rsid w:val="3D3A08FE"/>
    <w:rsid w:val="3D4D35DE"/>
    <w:rsid w:val="3E3C527C"/>
    <w:rsid w:val="3EC703BF"/>
    <w:rsid w:val="3F942225"/>
    <w:rsid w:val="3FFF25D0"/>
    <w:rsid w:val="412F50B4"/>
    <w:rsid w:val="431C0FA3"/>
    <w:rsid w:val="43E102CB"/>
    <w:rsid w:val="450B5327"/>
    <w:rsid w:val="45637E37"/>
    <w:rsid w:val="46382D9A"/>
    <w:rsid w:val="46C8388C"/>
    <w:rsid w:val="46FC16B0"/>
    <w:rsid w:val="48A07B0D"/>
    <w:rsid w:val="49971997"/>
    <w:rsid w:val="49A76819"/>
    <w:rsid w:val="4C4D6C07"/>
    <w:rsid w:val="4D4B3CE1"/>
    <w:rsid w:val="4DE91A5B"/>
    <w:rsid w:val="4EF05EB2"/>
    <w:rsid w:val="52F33083"/>
    <w:rsid w:val="530159F2"/>
    <w:rsid w:val="564130D9"/>
    <w:rsid w:val="58920286"/>
    <w:rsid w:val="58DF5C1C"/>
    <w:rsid w:val="60882933"/>
    <w:rsid w:val="60C34A1A"/>
    <w:rsid w:val="61095DCF"/>
    <w:rsid w:val="63E47478"/>
    <w:rsid w:val="65423338"/>
    <w:rsid w:val="65C510A6"/>
    <w:rsid w:val="66CD65F9"/>
    <w:rsid w:val="67E5766D"/>
    <w:rsid w:val="69AB3B95"/>
    <w:rsid w:val="6A675201"/>
    <w:rsid w:val="6B656802"/>
    <w:rsid w:val="6B7630AD"/>
    <w:rsid w:val="6BCF59E6"/>
    <w:rsid w:val="6C71397E"/>
    <w:rsid w:val="6CA4030D"/>
    <w:rsid w:val="6D1827EC"/>
    <w:rsid w:val="6E7314D9"/>
    <w:rsid w:val="6E9212BD"/>
    <w:rsid w:val="701656CB"/>
    <w:rsid w:val="727C0727"/>
    <w:rsid w:val="73593E84"/>
    <w:rsid w:val="737A3198"/>
    <w:rsid w:val="74427B0B"/>
    <w:rsid w:val="74BC150C"/>
    <w:rsid w:val="763E5539"/>
    <w:rsid w:val="77E204BA"/>
    <w:rsid w:val="789A61A8"/>
    <w:rsid w:val="78F36F2B"/>
    <w:rsid w:val="7A5B7FB8"/>
    <w:rsid w:val="7BA82DCD"/>
    <w:rsid w:val="7BF56879"/>
    <w:rsid w:val="7F0E5DE9"/>
    <w:rsid w:val="7F9D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22222"/>
    <w:qFormat/>
    <w:uiPriority w:val="0"/>
    <w:pPr>
      <w:spacing w:line="424" w:lineRule="atLeast"/>
      <w:ind w:left="1"/>
      <w:jc w:val="both"/>
      <w:textAlignment w:val="bottom"/>
    </w:pPr>
    <w:rPr>
      <w:rFonts w:ascii="Times New Roman" w:hAnsi="Times New Roman" w:eastAsia="宋体" w:cs="Times New Roman"/>
      <w:sz w:val="28"/>
      <w:szCs w:val="22"/>
      <w:lang w:val="en-US" w:eastAsia="zh-CN" w:bidi="ar-SA"/>
    </w:rPr>
  </w:style>
  <w:style w:type="paragraph" w:styleId="4">
    <w:name w:val="Body Text Indent"/>
    <w:basedOn w:val="1"/>
    <w:link w:val="12"/>
    <w:qFormat/>
    <w:uiPriority w:val="0"/>
    <w:pPr>
      <w:spacing w:after="120"/>
      <w:ind w:left="420" w:leftChars="200"/>
    </w:pPr>
  </w:style>
  <w:style w:type="paragraph" w:styleId="5">
    <w:name w:val="Date"/>
    <w:basedOn w:val="1"/>
    <w:next w:val="1"/>
    <w:link w:val="14"/>
    <w:unhideWhenUsed/>
    <w:qFormat/>
    <w:uiPriority w:val="99"/>
    <w:rPr>
      <w:rFonts w:ascii="Times New Roman" w:hAnsi="Times New Roman" w:eastAsia="仿宋_GB2312" w:cs="Times New Roman"/>
      <w:sz w:val="32"/>
      <w:szCs w:val="20"/>
    </w:rPr>
  </w:style>
  <w:style w:type="paragraph" w:styleId="6">
    <w:name w:val="Balloon Text"/>
    <w:basedOn w:val="1"/>
    <w:link w:val="15"/>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4"/>
    <w:link w:val="13"/>
    <w:unhideWhenUsed/>
    <w:qFormat/>
    <w:uiPriority w:val="99"/>
    <w:pPr>
      <w:ind w:firstLine="420" w:firstLineChars="200"/>
    </w:pPr>
    <w:rPr>
      <w:rFonts w:cs="宋体"/>
      <w:szCs w:val="21"/>
    </w:rPr>
  </w:style>
  <w:style w:type="character" w:customStyle="1" w:styleId="12">
    <w:name w:val="正文文本缩进 Char"/>
    <w:link w:val="4"/>
    <w:qFormat/>
    <w:uiPriority w:val="0"/>
    <w:rPr>
      <w:rFonts w:ascii="Calibri" w:hAnsi="Calibri" w:eastAsia="宋体" w:cs="黑体"/>
      <w:kern w:val="2"/>
      <w:sz w:val="21"/>
      <w:szCs w:val="24"/>
    </w:rPr>
  </w:style>
  <w:style w:type="character" w:customStyle="1" w:styleId="13">
    <w:name w:val="正文首行缩进 2 Char"/>
    <w:link w:val="9"/>
    <w:qFormat/>
    <w:uiPriority w:val="99"/>
    <w:rPr>
      <w:rFonts w:ascii="Calibri" w:hAnsi="Calibri" w:eastAsia="宋体" w:cs="宋体"/>
      <w:kern w:val="2"/>
      <w:sz w:val="21"/>
      <w:szCs w:val="21"/>
    </w:rPr>
  </w:style>
  <w:style w:type="character" w:customStyle="1" w:styleId="14">
    <w:name w:val="日期 Char"/>
    <w:link w:val="5"/>
    <w:qFormat/>
    <w:uiPriority w:val="99"/>
    <w:rPr>
      <w:rFonts w:eastAsia="仿宋_GB2312"/>
      <w:kern w:val="2"/>
      <w:sz w:val="32"/>
    </w:rPr>
  </w:style>
  <w:style w:type="character" w:customStyle="1" w:styleId="15">
    <w:name w:val="批注框文本 Char"/>
    <w:link w:val="6"/>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1032</Words>
  <Characters>5884</Characters>
  <Lines>49</Lines>
  <Paragraphs>13</Paragraphs>
  <TotalTime>5</TotalTime>
  <ScaleCrop>false</ScaleCrop>
  <LinksUpToDate>false</LinksUpToDate>
  <CharactersWithSpaces>6903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2022-04-07T11:10:00Z</dcterms:created>
  <dc:creator>renjun</dc:creator>
  <cp:lastModifiedBy>俊</cp:lastModifiedBy>
  <cp:lastPrinted>2022-04-07T11:08:00Z</cp:lastPrinted>
  <dcterms:modified xsi:type="dcterms:W3CDTF">2022-05-23T08:56:05Z</dcterms:modified>
  <dc:title>灵丘县十七届人大</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B26C620704B84BBE8CE0670FEA87E46A</vt:lpwstr>
  </property>
</Properties>
</file>