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E13D2">
      <w:pPr>
        <w:pStyle w:val="2"/>
        <w:rPr>
          <w:sz w:val="32"/>
          <w:szCs w:val="32"/>
        </w:rPr>
      </w:pPr>
    </w:p>
    <w:p w14:paraId="7D804585">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灵丘县人民检察院工作报告</w:t>
      </w:r>
    </w:p>
    <w:p w14:paraId="60BC4CCE">
      <w:pPr>
        <w:spacing w:line="600" w:lineRule="exact"/>
        <w:jc w:val="center"/>
        <w:rPr>
          <w:rFonts w:hint="eastAsia" w:ascii="楷体_GB2312" w:hAnsi="楷体_GB2312" w:eastAsia="楷体_GB2312" w:cs="楷体_GB2312"/>
          <w:sz w:val="32"/>
          <w:szCs w:val="32"/>
        </w:rPr>
      </w:pPr>
    </w:p>
    <w:p w14:paraId="43592D68">
      <w:pPr>
        <w:spacing w:after="312" w:afterLines="100" w:line="600" w:lineRule="exact"/>
        <w:jc w:val="center"/>
        <w:rPr>
          <w:rFonts w:hint="default" w:ascii="Times New Roman" w:hAnsi="Times New Roman" w:eastAsia="楷体_GB2312" w:cs="Times New Roman"/>
          <w:spacing w:val="-2"/>
          <w:sz w:val="28"/>
          <w:szCs w:val="28"/>
          <w:lang w:val="en-US" w:eastAsia="zh-CN"/>
        </w:rPr>
      </w:pPr>
      <w:r>
        <w:rPr>
          <w:rFonts w:hint="eastAsia" w:ascii="Times New Roman" w:hAnsi="Times New Roman" w:eastAsia="楷体_GB2312" w:cs="Times New Roman"/>
          <w:sz w:val="28"/>
          <w:szCs w:val="28"/>
        </w:rPr>
        <w:t>——2025年12月</w:t>
      </w:r>
      <w:r>
        <w:rPr>
          <w:rFonts w:hint="eastAsia" w:ascii="Times New Roman" w:hAnsi="Times New Roman" w:eastAsia="楷体_GB2312" w:cs="Times New Roman"/>
          <w:sz w:val="28"/>
          <w:szCs w:val="28"/>
          <w:lang w:val="en-US" w:eastAsia="zh-CN"/>
        </w:rPr>
        <w:t>29</w:t>
      </w:r>
      <w:r>
        <w:rPr>
          <w:rFonts w:hint="eastAsia" w:ascii="Times New Roman" w:hAnsi="Times New Roman" w:eastAsia="楷体_GB2312" w:cs="Times New Roman"/>
          <w:sz w:val="28"/>
          <w:szCs w:val="28"/>
        </w:rPr>
        <w:t>日在灵丘县第十七届人民代表大会第</w:t>
      </w:r>
      <w:r>
        <w:rPr>
          <w:rFonts w:hint="eastAsia" w:ascii="Times New Roman" w:hAnsi="Times New Roman" w:eastAsia="楷体_GB2312" w:cs="Times New Roman"/>
          <w:sz w:val="28"/>
          <w:szCs w:val="28"/>
          <w:lang w:val="en-US" w:eastAsia="zh-CN"/>
        </w:rPr>
        <w:t>七次会议上</w:t>
      </w:r>
      <w:bookmarkStart w:id="0" w:name="_GoBack"/>
      <w:bookmarkEnd w:id="0"/>
    </w:p>
    <w:p w14:paraId="56BE48E8">
      <w:pPr>
        <w:spacing w:before="156" w:beforeLines="5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灵丘县人民检察院检察长  宫云涵</w:t>
      </w:r>
    </w:p>
    <w:p w14:paraId="1B4BC18E">
      <w:pPr>
        <w:pStyle w:val="2"/>
      </w:pPr>
    </w:p>
    <w:p w14:paraId="3E1343D4">
      <w:pPr>
        <w:spacing w:line="62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各位代表：</w:t>
      </w:r>
    </w:p>
    <w:p w14:paraId="653C5E22">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现在，我代表灵丘县人民检察院向大会报告工作，请予审议，并请政协委员和</w:t>
      </w:r>
      <w:r>
        <w:rPr>
          <w:rFonts w:hint="eastAsia" w:ascii="Times New Roman" w:hAnsi="Times New Roman" w:eastAsia="仿宋_GB2312" w:cs="Times New Roman"/>
          <w:sz w:val="32"/>
          <w:szCs w:val="32"/>
        </w:rPr>
        <w:t>其他</w:t>
      </w:r>
      <w:r>
        <w:rPr>
          <w:rFonts w:ascii="Times New Roman" w:hAnsi="Times New Roman" w:eastAsia="仿宋_GB2312" w:cs="Times New Roman"/>
          <w:sz w:val="32"/>
          <w:szCs w:val="32"/>
        </w:rPr>
        <w:t>列席会议的同志</w:t>
      </w:r>
      <w:r>
        <w:rPr>
          <w:rFonts w:hint="eastAsia" w:ascii="Times New Roman" w:hAnsi="Times New Roman" w:eastAsia="仿宋_GB2312" w:cs="Times New Roman"/>
          <w:sz w:val="32"/>
          <w:szCs w:val="32"/>
        </w:rPr>
        <w:t>们</w:t>
      </w:r>
      <w:r>
        <w:rPr>
          <w:rFonts w:ascii="Times New Roman" w:hAnsi="Times New Roman" w:eastAsia="仿宋_GB2312" w:cs="Times New Roman"/>
          <w:sz w:val="32"/>
          <w:szCs w:val="32"/>
        </w:rPr>
        <w:t>提出宝贵意见。</w:t>
      </w:r>
    </w:p>
    <w:p w14:paraId="4820A22B">
      <w:pPr>
        <w:spacing w:before="156" w:beforeLines="50" w:after="156" w:afterLines="50" w:line="61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202</w:t>
      </w:r>
      <w:r>
        <w:rPr>
          <w:rFonts w:hint="eastAsia" w:ascii="Times New Roman" w:hAnsi="Times New Roman" w:eastAsia="黑体" w:cs="Times New Roman"/>
          <w:sz w:val="32"/>
          <w:szCs w:val="32"/>
        </w:rPr>
        <w:t>5</w:t>
      </w:r>
      <w:r>
        <w:rPr>
          <w:rFonts w:ascii="Times New Roman" w:hAnsi="Times New Roman" w:eastAsia="黑体" w:cs="Times New Roman"/>
          <w:sz w:val="32"/>
          <w:szCs w:val="32"/>
        </w:rPr>
        <w:t>年工作回顾</w:t>
      </w:r>
    </w:p>
    <w:p w14:paraId="3DDDE7C3">
      <w:pPr>
        <w:spacing w:line="62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2025</w:t>
      </w:r>
      <w:r>
        <w:rPr>
          <w:rFonts w:ascii="Times New Roman" w:hAnsi="Times New Roman" w:eastAsia="仿宋_GB2312" w:cs="Times New Roman"/>
          <w:sz w:val="32"/>
          <w:szCs w:val="32"/>
        </w:rPr>
        <w:t>年是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规划收官之年，也是进一步全面深化改革的关键一年。灵丘县人民检察院在县委和上级检察机关的坚强领导下，在县人大及其常委会的有力监督下，在县政府、县政协和社会各界的关心支持下，以习近平新时代中国特色社会主义思想为指导，</w:t>
      </w:r>
      <w:r>
        <w:rPr>
          <w:rFonts w:hint="eastAsia" w:ascii="Times New Roman" w:hAnsi="Times New Roman" w:eastAsia="仿宋_GB2312" w:cs="Times New Roman"/>
          <w:sz w:val="32"/>
          <w:szCs w:val="32"/>
        </w:rPr>
        <w:t>深入学习贯彻落实党的二十大及二十届历次全会精神和习近平法治思想，扎实开展深入贯彻中央八项规定精神学习教育活动，</w:t>
      </w:r>
      <w:r>
        <w:rPr>
          <w:rFonts w:ascii="Times New Roman" w:hAnsi="Times New Roman" w:eastAsia="仿宋_GB2312" w:cs="Times New Roman"/>
          <w:sz w:val="32"/>
          <w:szCs w:val="32"/>
        </w:rPr>
        <w:t>忠实履行宪法法律赋予的法律监督职责，为大局服务、为人民司法、为法治担当，严格公正司法，</w:t>
      </w:r>
      <w:r>
        <w:rPr>
          <w:rFonts w:hint="eastAsia" w:ascii="Times New Roman" w:hAnsi="Times New Roman" w:eastAsia="仿宋_GB2312" w:cs="Times New Roman"/>
          <w:sz w:val="32"/>
          <w:szCs w:val="32"/>
        </w:rPr>
        <w:t>以高质量检察履职为中国式现代化灵丘实践提供有力司法保障。</w:t>
      </w:r>
    </w:p>
    <w:p w14:paraId="75AD10F4">
      <w:pPr>
        <w:pStyle w:val="10"/>
        <w:widowControl w:val="0"/>
        <w:spacing w:line="620" w:lineRule="exact"/>
        <w:ind w:left="0"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color w:val="333333"/>
          <w:sz w:val="32"/>
          <w:szCs w:val="32"/>
          <w:shd w:val="clear" w:color="auto" w:fill="FFFFFF"/>
          <w:lang w:bidi="ar"/>
        </w:rPr>
        <w:t>牢记政治机关属性，坚定不移筑牢“检察忠诚”</w:t>
      </w:r>
    </w:p>
    <w:p w14:paraId="18DEBD86">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坚持把党的政治建设摆在首位，旗帜鲜明走中国特色社会主义法治道路，持续擦亮坚定拥护“两个确立”、坚决做到“两个维护”的鲜明政治底色，把党的领导落实到检察工作各方面全过程。</w:t>
      </w:r>
    </w:p>
    <w:p w14:paraId="7854FB31">
      <w:pPr>
        <w:spacing w:line="620" w:lineRule="exact"/>
        <w:ind w:firstLine="640" w:firstLineChars="200"/>
        <w:rPr>
          <w:rFonts w:ascii="仿宋_GB2312" w:hAnsi="仿宋_GB2312" w:eastAsia="仿宋_GB2312" w:cs="仿宋_GB2312"/>
          <w:sz w:val="32"/>
          <w:szCs w:val="32"/>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一是始终坚持党的绝对领导。</w:t>
      </w:r>
      <w:r>
        <w:rPr>
          <w:rFonts w:hint="eastAsia" w:ascii="Times New Roman" w:hAnsi="Times New Roman" w:eastAsia="仿宋_GB2312" w:cs="Times New Roman"/>
          <w:sz w:val="32"/>
          <w:szCs w:val="32"/>
        </w:rPr>
        <w:t>严格落实“第一议题”制度，开展党组中心组学习</w:t>
      </w:r>
      <w:r>
        <w:rPr>
          <w:rFonts w:hint="eastAsia" w:ascii="Times New Roman" w:hAnsi="Times New Roman" w:eastAsia="黑体" w:cs="Times New Roman"/>
          <w:sz w:val="32"/>
          <w:szCs w:val="32"/>
        </w:rPr>
        <w:t>12</w:t>
      </w:r>
      <w:r>
        <w:rPr>
          <w:rFonts w:hint="eastAsia" w:ascii="Times New Roman" w:hAnsi="Times New Roman" w:eastAsia="仿宋_GB2312" w:cs="Times New Roman"/>
          <w:sz w:val="32"/>
          <w:szCs w:val="32"/>
        </w:rPr>
        <w:t>次，专题理论学习</w:t>
      </w:r>
      <w:r>
        <w:rPr>
          <w:rFonts w:hint="eastAsia" w:ascii="Times New Roman" w:hAnsi="Times New Roman" w:eastAsia="黑体" w:cs="Times New Roman"/>
          <w:sz w:val="32"/>
          <w:szCs w:val="32"/>
        </w:rPr>
        <w:t>4</w:t>
      </w:r>
      <w:r>
        <w:rPr>
          <w:rFonts w:hint="eastAsia" w:ascii="Times New Roman" w:hAnsi="Times New Roman" w:eastAsia="仿宋_GB2312" w:cs="Times New Roman"/>
          <w:sz w:val="32"/>
          <w:szCs w:val="32"/>
        </w:rPr>
        <w:t>次，党组书记讲党课</w:t>
      </w:r>
      <w:r>
        <w:rPr>
          <w:rFonts w:hint="eastAsia" w:ascii="Times New Roman" w:hAnsi="Times New Roman" w:eastAsia="黑体" w:cs="Times New Roman"/>
          <w:sz w:val="32"/>
          <w:szCs w:val="32"/>
        </w:rPr>
        <w:t>2</w:t>
      </w:r>
      <w:r>
        <w:rPr>
          <w:rFonts w:hint="eastAsia" w:ascii="Times New Roman" w:hAnsi="Times New Roman" w:eastAsia="仿宋_GB2312" w:cs="Times New Roman"/>
          <w:sz w:val="32"/>
          <w:szCs w:val="32"/>
        </w:rPr>
        <w:t>次，党支部专题学习</w:t>
      </w:r>
      <w:r>
        <w:rPr>
          <w:rFonts w:hint="eastAsia" w:ascii="仿宋_GB2312" w:hAnsi="仿宋_GB2312" w:eastAsia="仿宋_GB2312" w:cs="仿宋_GB2312"/>
          <w:sz w:val="32"/>
          <w:szCs w:val="32"/>
        </w:rPr>
        <w:t>12</w:t>
      </w:r>
      <w:r>
        <w:rPr>
          <w:rFonts w:hint="eastAsia" w:ascii="Times New Roman" w:hAnsi="Times New Roman" w:eastAsia="仿宋_GB2312" w:cs="Times New Roman"/>
          <w:sz w:val="32"/>
          <w:szCs w:val="32"/>
        </w:rPr>
        <w:t>次。严格执行重大事项请示报告制度，主动向县委、县委政法委、市院党组请示报告工作</w:t>
      </w:r>
      <w:r>
        <w:rPr>
          <w:rFonts w:hint="eastAsia" w:ascii="Times New Roman" w:hAnsi="Times New Roman" w:eastAsia="黑体" w:cs="Times New Roman"/>
          <w:sz w:val="32"/>
          <w:szCs w:val="32"/>
        </w:rPr>
        <w:t>7</w:t>
      </w:r>
      <w:r>
        <w:rPr>
          <w:rFonts w:hint="eastAsia" w:ascii="Times New Roman" w:hAnsi="Times New Roman" w:eastAsia="仿宋_GB2312" w:cs="Times New Roman"/>
          <w:sz w:val="32"/>
          <w:szCs w:val="32"/>
        </w:rPr>
        <w:t>次。严格执行《中国共产党政法工作条例》，落实县委政法委执法监督与法律监督衔接工作机制，切实做到检察工作方向由党指引、检察工作原则由党确定、检察工作决策由党统领。</w:t>
      </w:r>
    </w:p>
    <w:p w14:paraId="502C5935">
      <w:pPr>
        <w:spacing w:line="620" w:lineRule="exact"/>
        <w:ind w:firstLine="640" w:firstLineChars="200"/>
        <w:rPr>
          <w:rFonts w:ascii="仿宋_GB2312" w:hAnsi="仿宋_GB2312" w:eastAsia="仿宋_GB2312" w:cs="仿宋_GB2312"/>
          <w:sz w:val="32"/>
          <w:szCs w:val="32"/>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二是不断强化党的创新理论武装。</w:t>
      </w:r>
      <w:r>
        <w:rPr>
          <w:rFonts w:hint="eastAsia" w:ascii="Times New Roman" w:hAnsi="Times New Roman" w:eastAsia="仿宋_GB2312" w:cs="Times New Roman"/>
          <w:sz w:val="32"/>
          <w:szCs w:val="32"/>
        </w:rPr>
        <w:t>巩固拓展主题教育成果，建立健全以学铸魂、以学增智、以学正风、以学促干长效机制。加强理想信念教育和职业道德教育，充分利用“学习强国”APP、“山西干部在线学院”和“中国检察教育培训网络学院”网络平台，分级分类开展检察人员政治轮训</w:t>
      </w:r>
      <w:r>
        <w:rPr>
          <w:rFonts w:hint="eastAsia" w:ascii="Times New Roman" w:hAnsi="Times New Roman" w:eastAsia="黑体" w:cs="Times New Roman"/>
          <w:sz w:val="32"/>
          <w:szCs w:val="32"/>
        </w:rPr>
        <w:t>3</w:t>
      </w:r>
      <w:r>
        <w:rPr>
          <w:rFonts w:hint="eastAsia" w:ascii="仿宋_GB2312" w:hAnsi="仿宋_GB2312" w:eastAsia="仿宋_GB2312" w:cs="仿宋_GB2312"/>
          <w:sz w:val="32"/>
          <w:szCs w:val="32"/>
        </w:rPr>
        <w:t>轮</w:t>
      </w:r>
      <w:r>
        <w:rPr>
          <w:rFonts w:hint="eastAsia" w:ascii="Times New Roman" w:hAnsi="Times New Roman" w:eastAsia="黑体" w:cs="Times New Roman"/>
          <w:sz w:val="32"/>
          <w:szCs w:val="32"/>
        </w:rPr>
        <w:t>96</w:t>
      </w:r>
      <w:r>
        <w:rPr>
          <w:rFonts w:hint="eastAsia" w:ascii="仿宋_GB2312" w:hAnsi="仿宋_GB2312" w:eastAsia="仿宋_GB2312" w:cs="仿宋_GB2312"/>
          <w:sz w:val="32"/>
          <w:szCs w:val="32"/>
        </w:rPr>
        <w:t>人次，拓展理论学习深度和广度，夯实思想理论根基。发挥运用新媒体平台矩阵宣传作用，通过设立常态化理论学习栏目，将理论学习融入干警的日常工作和生活中，推动党员干部思想素养和政治觉悟“同步升级”。</w:t>
      </w:r>
    </w:p>
    <w:p w14:paraId="47560679">
      <w:pPr>
        <w:spacing w:line="620" w:lineRule="exact"/>
        <w:ind w:firstLine="640" w:firstLineChars="200"/>
        <w:rPr>
          <w:rFonts w:ascii="仿宋_GB2312" w:hAnsi="仿宋_GB2312" w:eastAsia="仿宋_GB2312" w:cs="仿宋_GB2312"/>
          <w:sz w:val="32"/>
          <w:szCs w:val="32"/>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三是全面落实意识形态工作责任制。</w:t>
      </w:r>
      <w:r>
        <w:rPr>
          <w:rFonts w:hint="eastAsia" w:ascii="仿宋_GB2312" w:hAnsi="仿宋_GB2312" w:eastAsia="仿宋_GB2312" w:cs="仿宋_GB2312"/>
          <w:sz w:val="32"/>
          <w:szCs w:val="32"/>
        </w:rPr>
        <w:t>坚持把意识形态工作作为“硬指标”，针对重要时间节点，进行全面、深入的分析研判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今年以来，累计召开</w:t>
      </w:r>
      <w:r>
        <w:rPr>
          <w:rFonts w:hint="eastAsia" w:ascii="Times New Roman" w:hAnsi="Times New Roman" w:eastAsia="黑体" w:cs="Times New Roman"/>
          <w:sz w:val="32"/>
          <w:szCs w:val="32"/>
        </w:rPr>
        <w:t>5</w:t>
      </w:r>
      <w:r>
        <w:rPr>
          <w:rFonts w:hint="eastAsia" w:ascii="仿宋_GB2312" w:hAnsi="仿宋_GB2312" w:eastAsia="仿宋_GB2312" w:cs="仿宋_GB2312"/>
          <w:sz w:val="32"/>
          <w:szCs w:val="32"/>
        </w:rPr>
        <w:t>次会议深入研讨意识形态工作，及时发现并妥善处置苗头性、倾向性问题，实现 “早发现、早预警、早处置”。坚持将舆论宣传作为展现检察担当、凝聚法治共识的重要窗口，主动展示队伍风采，成功举办本年度全市检察机关“青年学堂”风采展示活动，获得热烈反响。积极讲好基层检察故事，山西法治报整版报道本院检察工作，大同电视台法治频道为本院录制专题宣传片在黄金时段展播，努力营造理解、支持检察工作的良好社会氛围。</w:t>
      </w:r>
    </w:p>
    <w:p w14:paraId="38625F33">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二、恪守法律监督职责，公正无私彰显“检察价值”</w:t>
      </w:r>
    </w:p>
    <w:p w14:paraId="40C7C355">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始终锚定法律监督主责主业，敢于监督、善于监督、勇于监督，持续推动刑事、民事、行政、公益诉讼等各项检察职能全面协调充分发展，切实以高质效检察履职让公平正义可感可触。</w:t>
      </w:r>
    </w:p>
    <w:p w14:paraId="5D1F88C8">
      <w:pPr>
        <w:spacing w:line="620" w:lineRule="exact"/>
        <w:ind w:firstLine="640" w:firstLineChars="200"/>
        <w:rPr>
          <w:rFonts w:ascii="仿宋_GB2312" w:hAnsi="仿宋_GB2312" w:eastAsia="仿宋_GB2312" w:cs="仿宋_GB2312"/>
          <w:sz w:val="32"/>
          <w:szCs w:val="32"/>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（一）持续做优刑事检察。</w:t>
      </w:r>
      <w:r>
        <w:rPr>
          <w:rFonts w:hint="eastAsia" w:ascii="仿宋_GB2312" w:hAnsi="仿宋_GB2312" w:eastAsia="仿宋_GB2312" w:cs="仿宋_GB2312"/>
          <w:sz w:val="32"/>
          <w:szCs w:val="32"/>
        </w:rPr>
        <w:t>坚持依法打击刑事犯罪，以深化提前介入办案机制和侦查监督与协作配合平台运用为重要手段，在案件办理的源头进行把关。扎实做好羁押必要性审查工作，严格按照高检院案件质量评查标准的要求，围绕犯罪事实、社会危害程度、和解情况等环节重点进行审查。全年共受理审查逮捕案件</w:t>
      </w:r>
      <w:r>
        <w:rPr>
          <w:rFonts w:ascii="Times New Roman" w:hAnsi="Times New Roman" w:eastAsia="黑体" w:cs="Times New Roman"/>
          <w:sz w:val="32"/>
          <w:szCs w:val="32"/>
        </w:rPr>
        <w:t>1</w:t>
      </w:r>
      <w:r>
        <w:rPr>
          <w:rFonts w:hint="eastAsia" w:ascii="Times New Roman" w:hAnsi="Times New Roman" w:eastAsia="黑体" w:cs="Times New Roman"/>
          <w:sz w:val="32"/>
          <w:szCs w:val="32"/>
        </w:rPr>
        <w:t>15</w:t>
      </w:r>
      <w:r>
        <w:rPr>
          <w:rFonts w:hint="eastAsia" w:ascii="仿宋_GB2312" w:hAnsi="仿宋_GB2312" w:eastAsia="仿宋_GB2312" w:cs="仿宋_GB2312"/>
          <w:sz w:val="32"/>
          <w:szCs w:val="32"/>
        </w:rPr>
        <w:t>件</w:t>
      </w:r>
      <w:r>
        <w:rPr>
          <w:rFonts w:ascii="Times New Roman" w:hAnsi="Times New Roman" w:eastAsia="黑体" w:cs="Times New Roman"/>
          <w:sz w:val="32"/>
          <w:szCs w:val="32"/>
        </w:rPr>
        <w:t>1</w:t>
      </w:r>
      <w:r>
        <w:rPr>
          <w:rFonts w:hint="eastAsia" w:ascii="Times New Roman" w:hAnsi="Times New Roman" w:eastAsia="黑体" w:cs="Times New Roman"/>
          <w:sz w:val="32"/>
          <w:szCs w:val="32"/>
        </w:rPr>
        <w:t>54</w:t>
      </w:r>
      <w:r>
        <w:rPr>
          <w:rFonts w:hint="eastAsia" w:ascii="仿宋_GB2312" w:hAnsi="仿宋_GB2312" w:eastAsia="仿宋_GB2312" w:cs="仿宋_GB2312"/>
          <w:sz w:val="32"/>
          <w:szCs w:val="32"/>
        </w:rPr>
        <w:t>人，批准逮捕</w:t>
      </w:r>
      <w:r>
        <w:rPr>
          <w:rFonts w:hint="eastAsia" w:ascii="Times New Roman" w:hAnsi="Times New Roman" w:eastAsia="黑体" w:cs="Times New Roman"/>
          <w:sz w:val="32"/>
          <w:szCs w:val="32"/>
        </w:rPr>
        <w:t>91</w:t>
      </w:r>
      <w:r>
        <w:rPr>
          <w:rFonts w:hint="eastAsia" w:ascii="仿宋_GB2312" w:hAnsi="仿宋_GB2312" w:eastAsia="仿宋_GB2312" w:cs="仿宋_GB2312"/>
          <w:sz w:val="32"/>
          <w:szCs w:val="32"/>
        </w:rPr>
        <w:t>件</w:t>
      </w:r>
      <w:r>
        <w:rPr>
          <w:rFonts w:ascii="Times New Roman" w:hAnsi="Times New Roman" w:eastAsia="黑体" w:cs="Times New Roman"/>
          <w:sz w:val="32"/>
          <w:szCs w:val="32"/>
        </w:rPr>
        <w:t>1</w:t>
      </w:r>
      <w:r>
        <w:rPr>
          <w:rFonts w:hint="eastAsia" w:ascii="Times New Roman" w:hAnsi="Times New Roman" w:eastAsia="黑体" w:cs="Times New Roman"/>
          <w:sz w:val="32"/>
          <w:szCs w:val="32"/>
        </w:rPr>
        <w:t>27</w:t>
      </w:r>
      <w:r>
        <w:rPr>
          <w:rFonts w:hint="eastAsia" w:ascii="仿宋_GB2312" w:hAnsi="仿宋_GB2312" w:eastAsia="仿宋_GB2312" w:cs="仿宋_GB2312"/>
          <w:sz w:val="32"/>
          <w:szCs w:val="32"/>
        </w:rPr>
        <w:t>人，不批准逮捕</w:t>
      </w:r>
      <w:r>
        <w:rPr>
          <w:rFonts w:ascii="Times New Roman" w:hAnsi="Times New Roman" w:eastAsia="黑体" w:cs="Times New Roman"/>
          <w:sz w:val="32"/>
          <w:szCs w:val="32"/>
        </w:rPr>
        <w:t>3</w:t>
      </w:r>
      <w:r>
        <w:rPr>
          <w:rFonts w:hint="eastAsia" w:ascii="Times New Roman" w:hAnsi="Times New Roman" w:eastAsia="黑体" w:cs="Times New Roman"/>
          <w:sz w:val="32"/>
          <w:szCs w:val="32"/>
        </w:rPr>
        <w:t>3</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52</w:t>
      </w:r>
      <w:r>
        <w:rPr>
          <w:rFonts w:hint="eastAsia" w:ascii="仿宋_GB2312" w:hAnsi="仿宋_GB2312" w:eastAsia="仿宋_GB2312" w:cs="仿宋_GB2312"/>
          <w:sz w:val="32"/>
          <w:szCs w:val="32"/>
        </w:rPr>
        <w:t>人；受理审查起诉案件</w:t>
      </w:r>
      <w:r>
        <w:rPr>
          <w:rFonts w:ascii="Times New Roman" w:hAnsi="Times New Roman" w:eastAsia="黑体" w:cs="Times New Roman"/>
          <w:sz w:val="32"/>
          <w:szCs w:val="32"/>
        </w:rPr>
        <w:t>1</w:t>
      </w:r>
      <w:r>
        <w:rPr>
          <w:rFonts w:hint="eastAsia" w:ascii="Times New Roman" w:hAnsi="Times New Roman" w:eastAsia="黑体" w:cs="Times New Roman"/>
          <w:sz w:val="32"/>
          <w:szCs w:val="32"/>
        </w:rPr>
        <w:t>15</w:t>
      </w:r>
      <w:r>
        <w:rPr>
          <w:rFonts w:hint="eastAsia" w:ascii="仿宋_GB2312" w:hAnsi="仿宋_GB2312" w:eastAsia="仿宋_GB2312" w:cs="仿宋_GB2312"/>
          <w:sz w:val="32"/>
          <w:szCs w:val="32"/>
        </w:rPr>
        <w:t>件</w:t>
      </w:r>
      <w:r>
        <w:rPr>
          <w:rFonts w:ascii="Times New Roman" w:hAnsi="Times New Roman" w:eastAsia="黑体" w:cs="Times New Roman"/>
          <w:sz w:val="32"/>
          <w:szCs w:val="32"/>
        </w:rPr>
        <w:t>1</w:t>
      </w:r>
      <w:r>
        <w:rPr>
          <w:rFonts w:hint="eastAsia" w:ascii="Times New Roman" w:hAnsi="Times New Roman" w:eastAsia="黑体" w:cs="Times New Roman"/>
          <w:sz w:val="32"/>
          <w:szCs w:val="32"/>
        </w:rPr>
        <w:t>54</w:t>
      </w:r>
      <w:r>
        <w:rPr>
          <w:rFonts w:hint="eastAsia" w:ascii="仿宋_GB2312" w:hAnsi="仿宋_GB2312" w:eastAsia="仿宋_GB2312" w:cs="仿宋_GB2312"/>
          <w:sz w:val="32"/>
          <w:szCs w:val="32"/>
        </w:rPr>
        <w:t>人，起诉</w:t>
      </w:r>
      <w:r>
        <w:rPr>
          <w:rFonts w:hint="eastAsia" w:ascii="Times New Roman" w:hAnsi="Times New Roman" w:eastAsia="黑体" w:cs="Times New Roman"/>
          <w:sz w:val="32"/>
          <w:szCs w:val="32"/>
        </w:rPr>
        <w:t>95</w:t>
      </w:r>
      <w:r>
        <w:rPr>
          <w:rFonts w:hint="eastAsia" w:ascii="仿宋_GB2312" w:hAnsi="仿宋_GB2312" w:eastAsia="仿宋_GB2312" w:cs="仿宋_GB2312"/>
          <w:sz w:val="32"/>
          <w:szCs w:val="32"/>
        </w:rPr>
        <w:t>件</w:t>
      </w:r>
      <w:r>
        <w:rPr>
          <w:rFonts w:ascii="Times New Roman" w:hAnsi="Times New Roman" w:eastAsia="黑体" w:cs="Times New Roman"/>
          <w:sz w:val="32"/>
          <w:szCs w:val="32"/>
        </w:rPr>
        <w:t>1</w:t>
      </w:r>
      <w:r>
        <w:rPr>
          <w:rFonts w:hint="eastAsia" w:ascii="Times New Roman" w:hAnsi="Times New Roman" w:eastAsia="黑体" w:cs="Times New Roman"/>
          <w:sz w:val="32"/>
          <w:szCs w:val="32"/>
        </w:rPr>
        <w:t>32</w:t>
      </w:r>
      <w:r>
        <w:rPr>
          <w:rFonts w:hint="eastAsia" w:ascii="仿宋_GB2312" w:hAnsi="仿宋_GB2312" w:eastAsia="仿宋_GB2312" w:cs="仿宋_GB2312"/>
          <w:sz w:val="32"/>
          <w:szCs w:val="32"/>
        </w:rPr>
        <w:t>人，不起诉</w:t>
      </w:r>
      <w:r>
        <w:rPr>
          <w:rFonts w:hint="eastAsia" w:ascii="Times New Roman" w:hAnsi="Times New Roman" w:eastAsia="黑体" w:cs="Times New Roman"/>
          <w:sz w:val="32"/>
          <w:szCs w:val="32"/>
        </w:rPr>
        <w:t>6</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7</w:t>
      </w:r>
      <w:r>
        <w:rPr>
          <w:rFonts w:hint="eastAsia" w:ascii="仿宋_GB2312" w:hAnsi="仿宋_GB2312" w:eastAsia="仿宋_GB2312" w:cs="仿宋_GB2312"/>
          <w:sz w:val="32"/>
          <w:szCs w:val="32"/>
        </w:rPr>
        <w:t>人，核查纠正脱漏管案件</w:t>
      </w:r>
      <w:r>
        <w:rPr>
          <w:rFonts w:hint="eastAsia" w:ascii="Times New Roman" w:hAnsi="Times New Roman" w:eastAsia="黑体" w:cs="Times New Roman"/>
          <w:sz w:val="32"/>
          <w:szCs w:val="32"/>
        </w:rPr>
        <w:t>4</w:t>
      </w:r>
      <w:r>
        <w:rPr>
          <w:rFonts w:hint="eastAsia" w:ascii="仿宋_GB2312" w:hAnsi="仿宋_GB2312" w:eastAsia="仿宋_GB2312" w:cs="仿宋_GB2312"/>
          <w:sz w:val="32"/>
          <w:szCs w:val="32"/>
        </w:rPr>
        <w:t>件。稳步推进检察侦查，强化案件办理能力，初查线索</w:t>
      </w:r>
      <w:r>
        <w:rPr>
          <w:rFonts w:hint="eastAsia" w:ascii="Times New Roman" w:hAnsi="Times New Roman" w:eastAsia="黑体" w:cs="Times New Roman"/>
          <w:sz w:val="32"/>
          <w:szCs w:val="32"/>
        </w:rPr>
        <w:t>7</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7</w:t>
      </w:r>
      <w:r>
        <w:rPr>
          <w:rFonts w:hint="eastAsia" w:ascii="仿宋_GB2312" w:hAnsi="仿宋_GB2312" w:eastAsia="仿宋_GB2312" w:cs="仿宋_GB2312"/>
          <w:sz w:val="32"/>
          <w:szCs w:val="32"/>
        </w:rPr>
        <w:t>人，立案侦查司法工作人员滥用职权案</w:t>
      </w:r>
      <w:r>
        <w:rPr>
          <w:rFonts w:hint="eastAsia" w:ascii="Times New Roman" w:hAnsi="Times New Roman" w:eastAsia="黑体" w:cs="Times New Roman"/>
          <w:sz w:val="32"/>
          <w:szCs w:val="32"/>
        </w:rPr>
        <w:t>1</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1</w:t>
      </w:r>
      <w:r>
        <w:rPr>
          <w:rFonts w:hint="eastAsia" w:ascii="仿宋_GB2312" w:hAnsi="仿宋_GB2312" w:eastAsia="仿宋_GB2312" w:cs="仿宋_GB2312"/>
          <w:sz w:val="32"/>
          <w:szCs w:val="32"/>
        </w:rPr>
        <w:t>人。未成年人检察全年受理审查逮捕案件</w:t>
      </w:r>
      <w:r>
        <w:rPr>
          <w:rFonts w:hint="eastAsia" w:ascii="Times New Roman" w:hAnsi="Times New Roman" w:eastAsia="黑体" w:cs="Times New Roman"/>
          <w:sz w:val="32"/>
          <w:szCs w:val="32"/>
        </w:rPr>
        <w:t>17</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21</w:t>
      </w:r>
      <w:r>
        <w:rPr>
          <w:rFonts w:hint="eastAsia" w:ascii="仿宋_GB2312" w:hAnsi="仿宋_GB2312" w:eastAsia="仿宋_GB2312" w:cs="仿宋_GB2312"/>
          <w:sz w:val="32"/>
          <w:szCs w:val="32"/>
        </w:rPr>
        <w:t>人，其中未成年人犯罪案件</w:t>
      </w:r>
      <w:r>
        <w:rPr>
          <w:rFonts w:hint="eastAsia" w:ascii="Times New Roman" w:hAnsi="Times New Roman" w:eastAsia="黑体" w:cs="Times New Roman"/>
          <w:sz w:val="32"/>
          <w:szCs w:val="32"/>
        </w:rPr>
        <w:t>8</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12</w:t>
      </w:r>
      <w:r>
        <w:rPr>
          <w:rFonts w:hint="eastAsia" w:ascii="仿宋_GB2312" w:hAnsi="仿宋_GB2312" w:eastAsia="仿宋_GB2312" w:cs="仿宋_GB2312"/>
          <w:sz w:val="32"/>
          <w:szCs w:val="32"/>
        </w:rPr>
        <w:t>人、侵害未成年人案件</w:t>
      </w:r>
      <w:r>
        <w:rPr>
          <w:rFonts w:hint="eastAsia" w:ascii="Times New Roman" w:hAnsi="Times New Roman" w:eastAsia="黑体" w:cs="Times New Roman"/>
          <w:sz w:val="32"/>
          <w:szCs w:val="32"/>
        </w:rPr>
        <w:t>5</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5</w:t>
      </w:r>
      <w:r>
        <w:rPr>
          <w:rFonts w:hint="eastAsia" w:ascii="仿宋_GB2312" w:hAnsi="仿宋_GB2312" w:eastAsia="仿宋_GB2312" w:cs="仿宋_GB2312"/>
          <w:sz w:val="32"/>
          <w:szCs w:val="32"/>
        </w:rPr>
        <w:t>人，经严格审查依法批准逮捕</w:t>
      </w:r>
      <w:r>
        <w:rPr>
          <w:rFonts w:hint="eastAsia" w:ascii="Times New Roman" w:hAnsi="Times New Roman" w:eastAsia="黑体" w:cs="Times New Roman"/>
          <w:sz w:val="32"/>
          <w:szCs w:val="32"/>
        </w:rPr>
        <w:t>16</w:t>
      </w:r>
      <w:r>
        <w:rPr>
          <w:rFonts w:hint="eastAsia" w:ascii="仿宋_GB2312" w:hAnsi="仿宋_GB2312" w:eastAsia="仿宋_GB2312" w:cs="仿宋_GB2312"/>
          <w:sz w:val="32"/>
          <w:szCs w:val="32"/>
        </w:rPr>
        <w:t>人，不批准逮捕</w:t>
      </w:r>
      <w:r>
        <w:rPr>
          <w:rFonts w:hint="eastAsia" w:ascii="Times New Roman" w:hAnsi="Times New Roman" w:eastAsia="黑体" w:cs="Times New Roman"/>
          <w:sz w:val="32"/>
          <w:szCs w:val="32"/>
        </w:rPr>
        <w:t>4</w:t>
      </w:r>
      <w:r>
        <w:rPr>
          <w:rFonts w:hint="eastAsia" w:ascii="仿宋_GB2312" w:hAnsi="仿宋_GB2312" w:eastAsia="仿宋_GB2312" w:cs="仿宋_GB2312"/>
          <w:sz w:val="32"/>
          <w:szCs w:val="32"/>
        </w:rPr>
        <w:t>人，受理审查起诉案件</w:t>
      </w:r>
      <w:r>
        <w:rPr>
          <w:rFonts w:hint="eastAsia" w:ascii="Times New Roman" w:hAnsi="Times New Roman" w:eastAsia="黑体" w:cs="Times New Roman"/>
          <w:sz w:val="32"/>
          <w:szCs w:val="32"/>
        </w:rPr>
        <w:t>18</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25</w:t>
      </w:r>
      <w:r>
        <w:rPr>
          <w:rFonts w:hint="eastAsia" w:ascii="仿宋_GB2312" w:hAnsi="仿宋_GB2312" w:eastAsia="仿宋_GB2312" w:cs="仿宋_GB2312"/>
          <w:sz w:val="32"/>
          <w:szCs w:val="32"/>
        </w:rPr>
        <w:t>人，其中未成年人犯罪案件</w:t>
      </w:r>
      <w:r>
        <w:rPr>
          <w:rFonts w:hint="eastAsia" w:ascii="Times New Roman" w:hAnsi="Times New Roman" w:eastAsia="黑体" w:cs="Times New Roman"/>
          <w:sz w:val="32"/>
          <w:szCs w:val="32"/>
        </w:rPr>
        <w:t>7</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13</w:t>
      </w:r>
      <w:r>
        <w:rPr>
          <w:rFonts w:hint="eastAsia" w:ascii="仿宋_GB2312" w:hAnsi="仿宋_GB2312" w:eastAsia="仿宋_GB2312" w:cs="仿宋_GB2312"/>
          <w:sz w:val="32"/>
          <w:szCs w:val="32"/>
        </w:rPr>
        <w:t>人，起诉</w:t>
      </w:r>
      <w:r>
        <w:rPr>
          <w:rFonts w:hint="eastAsia" w:ascii="Times New Roman" w:hAnsi="Times New Roman" w:eastAsia="黑体" w:cs="Times New Roman"/>
          <w:sz w:val="32"/>
          <w:szCs w:val="32"/>
        </w:rPr>
        <w:t>15</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21</w:t>
      </w:r>
      <w:r>
        <w:rPr>
          <w:rFonts w:hint="eastAsia" w:ascii="仿宋_GB2312" w:hAnsi="仿宋_GB2312" w:eastAsia="仿宋_GB2312" w:cs="仿宋_GB2312"/>
          <w:sz w:val="32"/>
          <w:szCs w:val="32"/>
        </w:rPr>
        <w:t>人，法院已判决</w:t>
      </w:r>
      <w:r>
        <w:rPr>
          <w:rFonts w:hint="eastAsia" w:ascii="Times New Roman" w:hAnsi="Times New Roman" w:eastAsia="黑体" w:cs="Times New Roman"/>
          <w:sz w:val="32"/>
          <w:szCs w:val="32"/>
        </w:rPr>
        <w:t>12</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17</w:t>
      </w:r>
      <w:r>
        <w:rPr>
          <w:rFonts w:hint="eastAsia" w:ascii="仿宋_GB2312" w:hAnsi="仿宋_GB2312" w:eastAsia="仿宋_GB2312" w:cs="仿宋_GB2312"/>
          <w:sz w:val="32"/>
          <w:szCs w:val="32"/>
        </w:rPr>
        <w:t>人。常态化开展扫黑除恶工作，全年召开</w:t>
      </w:r>
      <w:r>
        <w:rPr>
          <w:rFonts w:hint="eastAsia" w:ascii="Times New Roman" w:hAnsi="Times New Roman" w:eastAsia="黑体" w:cs="Times New Roman"/>
          <w:sz w:val="32"/>
          <w:szCs w:val="32"/>
        </w:rPr>
        <w:t>3</w:t>
      </w:r>
      <w:r>
        <w:rPr>
          <w:rFonts w:hint="eastAsia" w:ascii="仿宋_GB2312" w:hAnsi="仿宋_GB2312" w:eastAsia="仿宋_GB2312" w:cs="仿宋_GB2312"/>
          <w:sz w:val="32"/>
          <w:szCs w:val="32"/>
        </w:rPr>
        <w:t>次会议研究犯罪预防工作，定期开展《反有组织犯罪法》学习宣传活动，强化源头治理。抓好职务犯罪案件办理“后半篇文章”，针对涉案单位存在的内部管理问题，依法制发检察建议，入选山西省人民检察院</w:t>
      </w:r>
      <w:r>
        <w:rPr>
          <w:rFonts w:hint="eastAsia" w:ascii="Times New Roman" w:hAnsi="Times New Roman" w:eastAsia="黑体" w:cs="Times New Roman"/>
          <w:sz w:val="32"/>
          <w:szCs w:val="32"/>
        </w:rPr>
        <w:t>2024</w:t>
      </w:r>
      <w:r>
        <w:rPr>
          <w:rFonts w:hint="eastAsia" w:ascii="仿宋_GB2312" w:hAnsi="仿宋_GB2312" w:eastAsia="仿宋_GB2312" w:cs="仿宋_GB2312"/>
          <w:sz w:val="32"/>
          <w:szCs w:val="32"/>
        </w:rPr>
        <w:t>年度社会治理检察建议优质案件。</w:t>
      </w:r>
    </w:p>
    <w:p w14:paraId="1E3F7BB8">
      <w:pPr>
        <w:spacing w:line="620" w:lineRule="exact"/>
        <w:ind w:firstLine="640" w:firstLineChars="200"/>
        <w:rPr>
          <w:rFonts w:ascii="仿宋_GB2312" w:hAnsi="仿宋_GB2312" w:eastAsia="仿宋_GB2312" w:cs="仿宋_GB2312"/>
          <w:sz w:val="32"/>
          <w:szCs w:val="32"/>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（二）全力做强民事行政检察。</w:t>
      </w:r>
      <w:r>
        <w:rPr>
          <w:rFonts w:hint="eastAsia" w:ascii="仿宋_GB2312" w:hAnsi="仿宋_GB2312" w:eastAsia="仿宋_GB2312" w:cs="仿宋_GB2312"/>
          <w:sz w:val="32"/>
          <w:szCs w:val="32"/>
        </w:rPr>
        <w:t>紧紧围绕全县工作大局，依法能动履职，全年共办理各类民事行政案件</w:t>
      </w:r>
      <w:r>
        <w:rPr>
          <w:rFonts w:hint="eastAsia" w:ascii="Times New Roman" w:hAnsi="Times New Roman" w:eastAsia="黑体" w:cs="Times New Roman"/>
          <w:sz w:val="32"/>
          <w:szCs w:val="32"/>
        </w:rPr>
        <w:t>31</w:t>
      </w:r>
      <w:r>
        <w:rPr>
          <w:rFonts w:hint="eastAsia" w:ascii="仿宋_GB2312" w:hAnsi="仿宋_GB2312" w:eastAsia="仿宋_GB2312" w:cs="仿宋_GB2312"/>
          <w:sz w:val="32"/>
          <w:szCs w:val="32"/>
        </w:rPr>
        <w:t>件，其中民事执行监督案件</w:t>
      </w:r>
      <w:r>
        <w:rPr>
          <w:rFonts w:hint="eastAsia" w:ascii="Times New Roman" w:hAnsi="Times New Roman" w:eastAsia="黑体" w:cs="Times New Roman"/>
          <w:sz w:val="32"/>
          <w:szCs w:val="32"/>
        </w:rPr>
        <w:t>6</w:t>
      </w:r>
      <w:r>
        <w:rPr>
          <w:rFonts w:hint="eastAsia" w:ascii="仿宋_GB2312" w:hAnsi="仿宋_GB2312" w:eastAsia="仿宋_GB2312" w:cs="仿宋_GB2312"/>
          <w:sz w:val="32"/>
          <w:szCs w:val="32"/>
        </w:rPr>
        <w:t>件，制发检察建议书</w:t>
      </w:r>
      <w:r>
        <w:rPr>
          <w:rFonts w:hint="eastAsia" w:ascii="Times New Roman" w:hAnsi="Times New Roman" w:eastAsia="黑体" w:cs="Times New Roman"/>
          <w:sz w:val="32"/>
          <w:szCs w:val="32"/>
        </w:rPr>
        <w:t>5</w:t>
      </w:r>
      <w:r>
        <w:rPr>
          <w:rFonts w:hint="eastAsia" w:ascii="仿宋_GB2312" w:hAnsi="仿宋_GB2312" w:eastAsia="仿宋_GB2312" w:cs="仿宋_GB2312"/>
          <w:sz w:val="32"/>
          <w:szCs w:val="32"/>
        </w:rPr>
        <w:t>份，重点加强对民事终结本次执行案件监督，对执行工作中存在的普遍性问题，通过提出检察建议的方式推动整改，促进执行工作进一步规范化。办理民事审判程序监督案件</w:t>
      </w:r>
      <w:r>
        <w:rPr>
          <w:rFonts w:hint="eastAsia" w:ascii="Times New Roman" w:hAnsi="Times New Roman" w:eastAsia="黑体" w:cs="Times New Roman"/>
          <w:sz w:val="32"/>
          <w:szCs w:val="32"/>
        </w:rPr>
        <w:t>3</w:t>
      </w:r>
      <w:r>
        <w:rPr>
          <w:rFonts w:hint="eastAsia" w:ascii="仿宋_GB2312" w:hAnsi="仿宋_GB2312" w:eastAsia="仿宋_GB2312" w:cs="仿宋_GB2312"/>
          <w:sz w:val="32"/>
          <w:szCs w:val="32"/>
        </w:rPr>
        <w:t>件，制发检察建议书</w:t>
      </w:r>
      <w:r>
        <w:rPr>
          <w:rFonts w:hint="eastAsia" w:ascii="Times New Roman" w:hAnsi="Times New Roman" w:eastAsia="黑体" w:cs="Times New Roman"/>
          <w:sz w:val="32"/>
          <w:szCs w:val="32"/>
        </w:rPr>
        <w:t>2</w:t>
      </w:r>
      <w:r>
        <w:rPr>
          <w:rFonts w:hint="eastAsia" w:ascii="仿宋_GB2312" w:hAnsi="仿宋_GB2312" w:eastAsia="仿宋_GB2312" w:cs="仿宋_GB2312"/>
          <w:sz w:val="32"/>
          <w:szCs w:val="32"/>
        </w:rPr>
        <w:t>份，确保财产保全规定正确适用；办理行刑反向衔接案件</w:t>
      </w:r>
      <w:r>
        <w:rPr>
          <w:rFonts w:hint="eastAsia" w:ascii="Times New Roman" w:hAnsi="Times New Roman" w:eastAsia="黑体" w:cs="Times New Roman"/>
          <w:sz w:val="32"/>
          <w:szCs w:val="32"/>
        </w:rPr>
        <w:t>7</w:t>
      </w:r>
      <w:r>
        <w:rPr>
          <w:rFonts w:hint="eastAsia" w:ascii="仿宋_GB2312" w:hAnsi="仿宋_GB2312" w:eastAsia="仿宋_GB2312" w:cs="仿宋_GB2312"/>
          <w:sz w:val="32"/>
          <w:szCs w:val="32"/>
        </w:rPr>
        <w:t>件，制发检察意见书</w:t>
      </w:r>
      <w:r>
        <w:rPr>
          <w:rFonts w:hint="eastAsia" w:ascii="Times New Roman" w:hAnsi="Times New Roman" w:eastAsia="黑体" w:cs="Times New Roman"/>
          <w:sz w:val="32"/>
          <w:szCs w:val="32"/>
        </w:rPr>
        <w:t>4</w:t>
      </w:r>
      <w:r>
        <w:rPr>
          <w:rFonts w:hint="eastAsia" w:ascii="仿宋_GB2312" w:hAnsi="仿宋_GB2312" w:eastAsia="仿宋_GB2312" w:cs="仿宋_GB2312"/>
          <w:sz w:val="32"/>
          <w:szCs w:val="32"/>
        </w:rPr>
        <w:t>份，督促行政机关对不起诉案件中的被不起诉人进行行政处罚，实现了刑事不追责、行政不缺位的监督效果。办理行政非诉执行活动监督案件</w:t>
      </w:r>
      <w:r>
        <w:rPr>
          <w:rFonts w:hint="eastAsia" w:ascii="Times New Roman" w:hAnsi="Times New Roman" w:eastAsia="黑体" w:cs="Times New Roman"/>
          <w:sz w:val="32"/>
          <w:szCs w:val="32"/>
        </w:rPr>
        <w:t>2</w:t>
      </w:r>
      <w:r>
        <w:rPr>
          <w:rFonts w:hint="eastAsia" w:ascii="仿宋_GB2312" w:hAnsi="仿宋_GB2312" w:eastAsia="仿宋_GB2312" w:cs="仿宋_GB2312"/>
          <w:sz w:val="32"/>
          <w:szCs w:val="32"/>
        </w:rPr>
        <w:t>件、行政违法监督案件</w:t>
      </w:r>
      <w:r>
        <w:rPr>
          <w:rFonts w:hint="eastAsia" w:ascii="Times New Roman" w:hAnsi="Times New Roman" w:eastAsia="黑体" w:cs="Times New Roman"/>
          <w:sz w:val="32"/>
          <w:szCs w:val="32"/>
        </w:rPr>
        <w:t>1</w:t>
      </w:r>
      <w:r>
        <w:rPr>
          <w:rFonts w:hint="eastAsia" w:ascii="仿宋_GB2312" w:hAnsi="仿宋_GB2312" w:eastAsia="仿宋_GB2312" w:cs="仿宋_GB2312"/>
          <w:sz w:val="32"/>
          <w:szCs w:val="32"/>
        </w:rPr>
        <w:t>件，促进行政机关从源头规范执法行为。深入推进“涉民事终结本次执行程序的监督活动”，与县人民法院召开终本执行案件专项监督工作推进会，靶向筛选重点监督案件，依法强化对涉民事诉讼财产保全、审判活动和执行活动的监督。</w:t>
      </w:r>
    </w:p>
    <w:p w14:paraId="54B87E35">
      <w:pPr>
        <w:spacing w:line="620" w:lineRule="exact"/>
        <w:ind w:firstLine="640" w:firstLineChars="200"/>
        <w:rPr>
          <w:rFonts w:ascii="仿宋_GB2312" w:hAnsi="仿宋_GB2312" w:eastAsia="仿宋_GB2312" w:cs="仿宋_GB2312"/>
          <w:sz w:val="32"/>
          <w:szCs w:val="32"/>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（三）大力推进公益诉讼检察。</w:t>
      </w:r>
      <w:r>
        <w:rPr>
          <w:rFonts w:hint="eastAsia" w:ascii="仿宋_GB2312" w:hAnsi="仿宋_GB2312" w:eastAsia="仿宋_GB2312" w:cs="仿宋_GB2312"/>
          <w:sz w:val="32"/>
          <w:szCs w:val="32"/>
        </w:rPr>
        <w:t>聚焦“公益保护”，准确把握“可诉性”基本要素，助力县域经济社会高质量发展。全年共办理公益诉讼案件</w:t>
      </w:r>
      <w:r>
        <w:rPr>
          <w:rFonts w:hint="eastAsia" w:ascii="Times New Roman" w:hAnsi="Times New Roman" w:eastAsia="黑体" w:cs="Times New Roman"/>
          <w:sz w:val="32"/>
          <w:szCs w:val="32"/>
        </w:rPr>
        <w:t>30</w:t>
      </w:r>
      <w:r>
        <w:rPr>
          <w:rFonts w:hint="eastAsia" w:ascii="仿宋_GB2312" w:hAnsi="仿宋_GB2312" w:eastAsia="仿宋_GB2312" w:cs="仿宋_GB2312"/>
          <w:sz w:val="32"/>
          <w:szCs w:val="32"/>
        </w:rPr>
        <w:t>件，发出检察建议</w:t>
      </w:r>
      <w:r>
        <w:rPr>
          <w:rFonts w:hint="eastAsia" w:ascii="Times New Roman" w:hAnsi="Times New Roman" w:eastAsia="黑体" w:cs="Times New Roman"/>
          <w:sz w:val="32"/>
          <w:szCs w:val="32"/>
        </w:rPr>
        <w:t>6</w:t>
      </w:r>
      <w:r>
        <w:rPr>
          <w:rFonts w:hint="eastAsia" w:ascii="仿宋_GB2312" w:hAnsi="仿宋_GB2312" w:eastAsia="仿宋_GB2312" w:cs="仿宋_GB2312"/>
          <w:sz w:val="32"/>
          <w:szCs w:val="32"/>
        </w:rPr>
        <w:t>件，磋商</w:t>
      </w:r>
      <w:r>
        <w:rPr>
          <w:rFonts w:hint="eastAsia" w:ascii="Times New Roman" w:hAnsi="Times New Roman" w:eastAsia="黑体" w:cs="Times New Roman"/>
          <w:sz w:val="32"/>
          <w:szCs w:val="32"/>
        </w:rPr>
        <w:t>20</w:t>
      </w:r>
      <w:r>
        <w:rPr>
          <w:rFonts w:hint="eastAsia" w:ascii="仿宋_GB2312" w:hAnsi="仿宋_GB2312" w:eastAsia="仿宋_GB2312" w:cs="仿宋_GB2312"/>
          <w:sz w:val="32"/>
          <w:szCs w:val="32"/>
        </w:rPr>
        <w:t>件。充分应用“非标油”大数据法律监督模型发现线索并督促相关行政机关对涉案加油站偷税情形依法开展追缴工作，共追缴相关税款</w:t>
      </w:r>
      <w:r>
        <w:rPr>
          <w:rFonts w:hint="eastAsia" w:ascii="Times New Roman" w:hAnsi="Times New Roman" w:eastAsia="黑体" w:cs="Times New Roman"/>
          <w:sz w:val="32"/>
          <w:szCs w:val="32"/>
        </w:rPr>
        <w:t>18</w:t>
      </w:r>
      <w:r>
        <w:rPr>
          <w:rFonts w:hint="eastAsia" w:ascii="仿宋_GB2312" w:hAnsi="仿宋_GB2312" w:eastAsia="仿宋_GB2312" w:cs="仿宋_GB2312"/>
          <w:sz w:val="32"/>
          <w:szCs w:val="32"/>
        </w:rPr>
        <w:t>万余元；落实最高检“守护群众舌尖上的安全”食品药品安全检察公益诉讼“冬季行动”，聚焦食品安全领域突出问题，办理涉食品药品安全领域案件</w:t>
      </w:r>
      <w:r>
        <w:rPr>
          <w:rFonts w:hint="eastAsia" w:ascii="Times New Roman" w:hAnsi="Times New Roman" w:eastAsia="黑体" w:cs="Times New Roman"/>
          <w:sz w:val="32"/>
          <w:szCs w:val="32"/>
        </w:rPr>
        <w:t>5</w:t>
      </w:r>
      <w:r>
        <w:rPr>
          <w:rFonts w:hint="eastAsia" w:ascii="仿宋_GB2312" w:hAnsi="仿宋_GB2312" w:eastAsia="仿宋_GB2312" w:cs="仿宋_GB2312"/>
          <w:sz w:val="32"/>
          <w:szCs w:val="32"/>
        </w:rPr>
        <w:t>件，发出检察建议</w:t>
      </w:r>
      <w:r>
        <w:rPr>
          <w:rFonts w:hint="eastAsia" w:ascii="Times New Roman" w:hAnsi="Times New Roman" w:eastAsia="黑体" w:cs="Times New Roman"/>
          <w:sz w:val="32"/>
          <w:szCs w:val="32"/>
        </w:rPr>
        <w:t>3</w:t>
      </w:r>
      <w:r>
        <w:rPr>
          <w:rFonts w:hint="eastAsia" w:ascii="仿宋_GB2312" w:hAnsi="仿宋_GB2312" w:eastAsia="仿宋_GB2312" w:cs="仿宋_GB2312"/>
          <w:sz w:val="32"/>
          <w:szCs w:val="32"/>
        </w:rPr>
        <w:t>件，磋商</w:t>
      </w:r>
      <w:r>
        <w:rPr>
          <w:rFonts w:hint="eastAsia" w:ascii="Times New Roman" w:hAnsi="Times New Roman" w:eastAsia="黑体" w:cs="Times New Roman"/>
          <w:sz w:val="32"/>
          <w:szCs w:val="32"/>
        </w:rPr>
        <w:t>2</w:t>
      </w:r>
      <w:r>
        <w:rPr>
          <w:rFonts w:hint="eastAsia" w:ascii="仿宋_GB2312" w:hAnsi="仿宋_GB2312" w:eastAsia="仿宋_GB2312" w:cs="仿宋_GB2312"/>
          <w:sz w:val="32"/>
          <w:szCs w:val="32"/>
        </w:rPr>
        <w:t>件，以法律监督之力筑牢食品安全防线；针对公共健身器材长期处于“带病运行”“超期运行”状态，向相关行政机关制发检察建议，督促其对</w:t>
      </w:r>
      <w:r>
        <w:rPr>
          <w:rFonts w:hint="eastAsia" w:ascii="Times New Roman" w:hAnsi="Times New Roman" w:eastAsia="黑体" w:cs="Times New Roman"/>
          <w:sz w:val="32"/>
          <w:szCs w:val="32"/>
        </w:rPr>
        <w:t>5</w:t>
      </w:r>
      <w:r>
        <w:rPr>
          <w:rFonts w:hint="eastAsia" w:ascii="仿宋_GB2312" w:hAnsi="仿宋_GB2312" w:eastAsia="仿宋_GB2312" w:cs="仿宋_GB2312"/>
          <w:sz w:val="32"/>
          <w:szCs w:val="32"/>
        </w:rPr>
        <w:t>个行政村共</w:t>
      </w:r>
      <w:r>
        <w:rPr>
          <w:rFonts w:hint="eastAsia" w:ascii="Times New Roman" w:hAnsi="Times New Roman" w:eastAsia="黑体" w:cs="Times New Roman"/>
          <w:sz w:val="32"/>
          <w:szCs w:val="32"/>
        </w:rPr>
        <w:t>44</w:t>
      </w:r>
      <w:r>
        <w:rPr>
          <w:rFonts w:hint="eastAsia" w:ascii="仿宋_GB2312" w:hAnsi="仿宋_GB2312" w:eastAsia="仿宋_GB2312" w:cs="仿宋_GB2312"/>
          <w:sz w:val="32"/>
          <w:szCs w:val="32"/>
        </w:rPr>
        <w:t>件健身器材进行更换，对</w:t>
      </w:r>
      <w:r>
        <w:rPr>
          <w:rFonts w:hint="eastAsia" w:ascii="Times New Roman" w:hAnsi="Times New Roman" w:eastAsia="黑体" w:cs="Times New Roman"/>
          <w:sz w:val="32"/>
          <w:szCs w:val="32"/>
        </w:rPr>
        <w:t>2</w:t>
      </w:r>
      <w:r>
        <w:rPr>
          <w:rFonts w:hint="eastAsia" w:ascii="仿宋_GB2312" w:hAnsi="仿宋_GB2312" w:eastAsia="仿宋_GB2312" w:cs="仿宋_GB2312"/>
          <w:sz w:val="32"/>
          <w:szCs w:val="32"/>
        </w:rPr>
        <w:t>个行政村</w:t>
      </w:r>
      <w:r>
        <w:rPr>
          <w:rFonts w:hint="eastAsia" w:ascii="Times New Roman" w:hAnsi="Times New Roman" w:eastAsia="黑体" w:cs="Times New Roman"/>
          <w:sz w:val="32"/>
          <w:szCs w:val="32"/>
        </w:rPr>
        <w:t>13</w:t>
      </w:r>
      <w:r>
        <w:rPr>
          <w:rFonts w:hint="eastAsia" w:ascii="仿宋_GB2312" w:hAnsi="仿宋_GB2312" w:eastAsia="仿宋_GB2312" w:cs="仿宋_GB2312"/>
          <w:sz w:val="32"/>
          <w:szCs w:val="32"/>
        </w:rPr>
        <w:t>件健身器材标识牌进行完善并新增</w:t>
      </w:r>
      <w:r>
        <w:rPr>
          <w:rFonts w:hint="eastAsia" w:ascii="Times New Roman" w:hAnsi="Times New Roman" w:eastAsia="黑体" w:cs="Times New Roman"/>
          <w:sz w:val="32"/>
          <w:szCs w:val="32"/>
        </w:rPr>
        <w:t>12</w:t>
      </w:r>
      <w:r>
        <w:rPr>
          <w:rFonts w:hint="eastAsia" w:ascii="仿宋_GB2312" w:hAnsi="仿宋_GB2312" w:eastAsia="仿宋_GB2312" w:cs="仿宋_GB2312"/>
          <w:sz w:val="32"/>
          <w:szCs w:val="32"/>
        </w:rPr>
        <w:t>件健身器材，对</w:t>
      </w:r>
      <w:r>
        <w:rPr>
          <w:rFonts w:hint="eastAsia" w:ascii="Times New Roman" w:hAnsi="Times New Roman" w:eastAsia="黑体" w:cs="Times New Roman"/>
          <w:sz w:val="32"/>
          <w:szCs w:val="32"/>
        </w:rPr>
        <w:t>1</w:t>
      </w:r>
      <w:r>
        <w:rPr>
          <w:rFonts w:hint="eastAsia" w:ascii="仿宋_GB2312" w:hAnsi="仿宋_GB2312" w:eastAsia="仿宋_GB2312" w:cs="仿宋_GB2312"/>
          <w:sz w:val="32"/>
          <w:szCs w:val="32"/>
        </w:rPr>
        <w:t>个行政村的健身器材进行拆除，督促相关行政机关建立健全村级健身场地普查、村级健身器材维修和更新等制度；开展大同市检察机关桑干河（永定河）流域治理公益诉讼监督活动，对桑干河流域直峪河支流河道内堆放泥土、生活垃圾污染环境、影响行洪安全的情形依法制发检察建议</w:t>
      </w:r>
      <w:r>
        <w:rPr>
          <w:rFonts w:hint="eastAsia" w:ascii="Times New Roman" w:hAnsi="Times New Roman" w:eastAsia="黑体" w:cs="Times New Roman"/>
          <w:sz w:val="32"/>
          <w:szCs w:val="32"/>
        </w:rPr>
        <w:t>2</w:t>
      </w:r>
      <w:r>
        <w:rPr>
          <w:rFonts w:hint="eastAsia" w:ascii="仿宋_GB2312" w:hAnsi="仿宋_GB2312" w:eastAsia="仿宋_GB2312" w:cs="仿宋_GB2312"/>
          <w:sz w:val="32"/>
          <w:szCs w:val="32"/>
        </w:rPr>
        <w:t>件，督促相关职能部门对污染情形进行整改并加大对河道污染违法行为的日常监管，为县域经济社会发展绿色转型提供法治保障。</w:t>
      </w:r>
    </w:p>
    <w:p w14:paraId="6BB8BFDA">
      <w:pPr>
        <w:spacing w:line="620" w:lineRule="exact"/>
        <w:ind w:firstLine="640" w:firstLineChars="200"/>
        <w:rPr>
          <w:rFonts w:ascii="黑体" w:hAnsi="黑体" w:eastAsia="黑体" w:cs="黑体"/>
          <w:color w:val="333333"/>
          <w:kern w:val="0"/>
          <w:sz w:val="32"/>
          <w:szCs w:val="32"/>
          <w:shd w:val="clear" w:color="auto" w:fill="FFFFFF"/>
          <w:lang w:bidi="ar"/>
        </w:rPr>
      </w:pPr>
      <w:r>
        <w:rPr>
          <w:rFonts w:hint="eastAsia" w:ascii="黑体" w:hAnsi="黑体" w:eastAsia="黑体" w:cs="黑体"/>
          <w:sz w:val="32"/>
          <w:szCs w:val="32"/>
        </w:rPr>
        <w:t>三、</w:t>
      </w:r>
      <w:r>
        <w:rPr>
          <w:rFonts w:hint="eastAsia" w:ascii="黑体" w:hAnsi="黑体" w:eastAsia="黑体" w:cs="黑体"/>
          <w:color w:val="333333"/>
          <w:kern w:val="0"/>
          <w:sz w:val="32"/>
          <w:szCs w:val="32"/>
          <w:shd w:val="clear" w:color="auto" w:fill="FFFFFF"/>
          <w:lang w:bidi="ar"/>
        </w:rPr>
        <w:t>锚定服务大局使命，实干笃行扛起“检察担当”</w:t>
      </w:r>
    </w:p>
    <w:p w14:paraId="28B7E1AD">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坚持党和国家中心工作推动到哪里，检察工作就跟进到哪里。紧紧围绕县委、县政府中心任务、首要任务、战略任务，能动履职、挺膺担当，服务改革发展稳定更加精准有效。</w:t>
      </w:r>
    </w:p>
    <w:p w14:paraId="412EB896">
      <w:pPr>
        <w:numPr>
          <w:ilvl w:val="0"/>
          <w:numId w:val="1"/>
        </w:numPr>
        <w:spacing w:line="620" w:lineRule="exact"/>
        <w:ind w:firstLine="640" w:firstLineChars="200"/>
        <w:rPr>
          <w:rFonts w:ascii="仿宋_GB2312" w:hAnsi="仿宋_GB2312" w:eastAsia="仿宋_GB2312" w:cs="仿宋_GB2312"/>
          <w:sz w:val="32"/>
          <w:szCs w:val="32"/>
          <w:shd w:val="clear" w:color="auto" w:fill="FFFFFF"/>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扎实开展违规异地执法和趋利性执法司法专项监督工作。</w:t>
      </w:r>
      <w:r>
        <w:rPr>
          <w:rFonts w:hint="eastAsia" w:ascii="仿宋_GB2312" w:hAnsi="仿宋_GB2312" w:eastAsia="仿宋_GB2312" w:cs="仿宋_GB2312"/>
          <w:sz w:val="32"/>
          <w:szCs w:val="32"/>
          <w:shd w:val="clear" w:color="auto" w:fill="FFFFFF"/>
        </w:rPr>
        <w:t>重点关注违反规定管辖权、为追求经济利益不当立案或选择性执法等问题线索，依托检察业务应用系统和大数据监督模型，加强对跨区域案件、涉企案件、特定类型高发案件的研判分析，提升发现问题的精准度，共排查刑事挂案</w:t>
      </w:r>
      <w:r>
        <w:rPr>
          <w:rFonts w:hint="eastAsia" w:ascii="Times New Roman" w:hAnsi="Times New Roman" w:eastAsia="黑体" w:cs="Times New Roman"/>
          <w:sz w:val="32"/>
          <w:szCs w:val="32"/>
        </w:rPr>
        <w:t>31</w:t>
      </w:r>
      <w:r>
        <w:rPr>
          <w:rFonts w:hint="eastAsia" w:ascii="仿宋_GB2312" w:hAnsi="仿宋_GB2312" w:eastAsia="仿宋_GB2312" w:cs="仿宋_GB2312"/>
          <w:sz w:val="32"/>
          <w:szCs w:val="32"/>
          <w:shd w:val="clear" w:color="auto" w:fill="FFFFFF"/>
        </w:rPr>
        <w:t>件</w:t>
      </w:r>
      <w:r>
        <w:rPr>
          <w:rFonts w:hint="eastAsia" w:ascii="Times New Roman" w:hAnsi="Times New Roman" w:eastAsia="黑体" w:cs="Times New Roman"/>
          <w:sz w:val="32"/>
          <w:szCs w:val="32"/>
        </w:rPr>
        <w:t>43</w:t>
      </w:r>
      <w:r>
        <w:rPr>
          <w:rFonts w:hint="eastAsia" w:ascii="仿宋_GB2312" w:hAnsi="仿宋_GB2312" w:eastAsia="仿宋_GB2312" w:cs="仿宋_GB2312"/>
          <w:sz w:val="32"/>
          <w:szCs w:val="32"/>
          <w:shd w:val="clear" w:color="auto" w:fill="FFFFFF"/>
        </w:rPr>
        <w:t>人，清理挂案</w:t>
      </w:r>
      <w:r>
        <w:rPr>
          <w:rFonts w:hint="eastAsia" w:ascii="Times New Roman" w:hAnsi="Times New Roman" w:eastAsia="黑体" w:cs="Times New Roman"/>
          <w:sz w:val="32"/>
          <w:szCs w:val="32"/>
        </w:rPr>
        <w:t>27</w:t>
      </w:r>
      <w:r>
        <w:rPr>
          <w:rFonts w:hint="eastAsia" w:ascii="仿宋_GB2312" w:hAnsi="仿宋_GB2312" w:eastAsia="仿宋_GB2312" w:cs="仿宋_GB2312"/>
          <w:sz w:val="32"/>
          <w:szCs w:val="32"/>
          <w:shd w:val="clear" w:color="auto" w:fill="FFFFFF"/>
        </w:rPr>
        <w:t>件</w:t>
      </w:r>
      <w:r>
        <w:rPr>
          <w:rFonts w:hint="eastAsia" w:ascii="Times New Roman" w:hAnsi="Times New Roman" w:eastAsia="黑体" w:cs="Times New Roman"/>
          <w:sz w:val="32"/>
          <w:szCs w:val="32"/>
        </w:rPr>
        <w:t>36</w:t>
      </w:r>
      <w:r>
        <w:rPr>
          <w:rFonts w:hint="eastAsia" w:ascii="仿宋_GB2312" w:hAnsi="仿宋_GB2312" w:eastAsia="仿宋_GB2312" w:cs="仿宋_GB2312"/>
          <w:sz w:val="32"/>
          <w:szCs w:val="32"/>
          <w:shd w:val="clear" w:color="auto" w:fill="FFFFFF"/>
        </w:rPr>
        <w:t>人，监督撤销案件</w:t>
      </w:r>
      <w:r>
        <w:rPr>
          <w:rFonts w:hint="eastAsia" w:ascii="Times New Roman" w:hAnsi="Times New Roman" w:eastAsia="黑体" w:cs="Times New Roman"/>
          <w:sz w:val="32"/>
          <w:szCs w:val="32"/>
        </w:rPr>
        <w:t>8</w:t>
      </w:r>
      <w:r>
        <w:rPr>
          <w:rFonts w:hint="eastAsia" w:ascii="仿宋_GB2312" w:hAnsi="仿宋_GB2312" w:eastAsia="仿宋_GB2312" w:cs="仿宋_GB2312"/>
          <w:sz w:val="32"/>
          <w:szCs w:val="32"/>
          <w:shd w:val="clear" w:color="auto" w:fill="FFFFFF"/>
        </w:rPr>
        <w:t>件</w:t>
      </w:r>
      <w:r>
        <w:rPr>
          <w:rFonts w:hint="eastAsia" w:ascii="Times New Roman" w:hAnsi="Times New Roman" w:eastAsia="黑体" w:cs="Times New Roman"/>
          <w:sz w:val="32"/>
          <w:szCs w:val="32"/>
        </w:rPr>
        <w:t>8</w:t>
      </w:r>
      <w:r>
        <w:rPr>
          <w:rFonts w:hint="eastAsia" w:ascii="仿宋_GB2312" w:hAnsi="仿宋_GB2312" w:eastAsia="仿宋_GB2312" w:cs="仿宋_GB2312"/>
          <w:sz w:val="32"/>
          <w:szCs w:val="32"/>
          <w:shd w:val="clear" w:color="auto" w:fill="FFFFFF"/>
        </w:rPr>
        <w:t>人，建议终止侦查</w:t>
      </w:r>
      <w:r>
        <w:rPr>
          <w:rFonts w:hint="eastAsia" w:ascii="Times New Roman" w:hAnsi="Times New Roman" w:eastAsia="黑体" w:cs="Times New Roman"/>
          <w:sz w:val="32"/>
          <w:szCs w:val="32"/>
        </w:rPr>
        <w:t>1</w:t>
      </w:r>
      <w:r>
        <w:rPr>
          <w:rFonts w:hint="eastAsia" w:ascii="仿宋_GB2312" w:hAnsi="仿宋_GB2312" w:eastAsia="仿宋_GB2312" w:cs="仿宋_GB2312"/>
          <w:sz w:val="32"/>
          <w:szCs w:val="32"/>
          <w:shd w:val="clear" w:color="auto" w:fill="FFFFFF"/>
        </w:rPr>
        <w:t>件</w:t>
      </w:r>
      <w:r>
        <w:rPr>
          <w:rFonts w:hint="eastAsia" w:ascii="Times New Roman" w:hAnsi="Times New Roman" w:eastAsia="黑体" w:cs="Times New Roman"/>
          <w:sz w:val="32"/>
          <w:szCs w:val="32"/>
        </w:rPr>
        <w:t>1</w:t>
      </w:r>
      <w:r>
        <w:rPr>
          <w:rFonts w:hint="eastAsia" w:ascii="仿宋_GB2312" w:hAnsi="仿宋_GB2312" w:eastAsia="仿宋_GB2312" w:cs="仿宋_GB2312"/>
          <w:sz w:val="32"/>
          <w:szCs w:val="32"/>
          <w:shd w:val="clear" w:color="auto" w:fill="FFFFFF"/>
        </w:rPr>
        <w:t>人，督促继续侦查</w:t>
      </w:r>
      <w:r>
        <w:rPr>
          <w:rFonts w:hint="eastAsia" w:ascii="Times New Roman" w:hAnsi="Times New Roman" w:eastAsia="黑体" w:cs="Times New Roman"/>
          <w:sz w:val="32"/>
          <w:szCs w:val="32"/>
        </w:rPr>
        <w:t>4</w:t>
      </w:r>
      <w:r>
        <w:rPr>
          <w:rFonts w:hint="eastAsia" w:ascii="仿宋_GB2312" w:hAnsi="仿宋_GB2312" w:eastAsia="仿宋_GB2312" w:cs="仿宋_GB2312"/>
          <w:sz w:val="32"/>
          <w:szCs w:val="32"/>
          <w:shd w:val="clear" w:color="auto" w:fill="FFFFFF"/>
        </w:rPr>
        <w:t>件</w:t>
      </w:r>
      <w:r>
        <w:rPr>
          <w:rFonts w:hint="eastAsia" w:ascii="Times New Roman" w:hAnsi="Times New Roman" w:eastAsia="黑体" w:cs="Times New Roman"/>
          <w:sz w:val="32"/>
          <w:szCs w:val="32"/>
        </w:rPr>
        <w:t>7</w:t>
      </w:r>
      <w:r>
        <w:rPr>
          <w:rFonts w:hint="eastAsia" w:ascii="仿宋_GB2312" w:hAnsi="仿宋_GB2312" w:eastAsia="仿宋_GB2312" w:cs="仿宋_GB2312"/>
          <w:sz w:val="32"/>
          <w:szCs w:val="32"/>
          <w:shd w:val="clear" w:color="auto" w:fill="FFFFFF"/>
        </w:rPr>
        <w:t>人。对于查实的违规违法情形，依法通过提出检察建议、纠正违法通知书等方式督促整改，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依法制发检察建议</w:t>
      </w:r>
      <w:r>
        <w:rPr>
          <w:rFonts w:hint="eastAsia" w:ascii="Times New Roman" w:hAnsi="Times New Roman" w:eastAsia="黑体" w:cs="Times New Roman"/>
          <w:sz w:val="32"/>
          <w:szCs w:val="32"/>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份、侦查活动监督通知书</w:t>
      </w:r>
      <w:r>
        <w:rPr>
          <w:rFonts w:hint="eastAsia" w:ascii="Times New Roman" w:hAnsi="Times New Roman" w:eastAsia="黑体" w:cs="Times New Roman"/>
          <w:sz w:val="32"/>
          <w:szCs w:val="32"/>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份，不断提升法律监督质效</w:t>
      </w:r>
      <w:r>
        <w:rPr>
          <w:rFonts w:hint="eastAsia" w:ascii="仿宋_GB2312" w:hAnsi="仿宋_GB2312" w:eastAsia="仿宋_GB2312" w:cs="仿宋_GB2312"/>
          <w:sz w:val="32"/>
          <w:szCs w:val="32"/>
          <w:shd w:val="clear" w:color="auto" w:fill="FFFFFF"/>
        </w:rPr>
        <w:t>。结合“检护民生”专项行动，将监督成效转化为优化法治化营商环境、保障人民群众合法权益的具体实践，高质效办理最高检交办重点案件</w:t>
      </w:r>
      <w:r>
        <w:rPr>
          <w:rFonts w:hint="eastAsia" w:ascii="Times New Roman" w:hAnsi="Times New Roman" w:eastAsia="黑体" w:cs="Times New Roman"/>
          <w:sz w:val="32"/>
          <w:szCs w:val="32"/>
        </w:rPr>
        <w:t>1</w:t>
      </w:r>
      <w:r>
        <w:rPr>
          <w:rFonts w:hint="eastAsia" w:ascii="仿宋_GB2312" w:hAnsi="仿宋_GB2312" w:eastAsia="仿宋_GB2312" w:cs="仿宋_GB2312"/>
          <w:sz w:val="32"/>
          <w:szCs w:val="32"/>
          <w:shd w:val="clear" w:color="auto" w:fill="FFFFFF"/>
        </w:rPr>
        <w:t>件，办理的杨某立案监督案件被省委政法委、省检察院分别评为典型案例。</w:t>
      </w:r>
    </w:p>
    <w:p w14:paraId="55075817">
      <w:pPr>
        <w:pStyle w:val="2"/>
        <w:spacing w:after="0" w:line="620" w:lineRule="exact"/>
        <w:ind w:firstLine="640" w:firstLineChars="200"/>
        <w:rPr>
          <w:rFonts w:ascii="仿宋_GB2312" w:hAnsi="仿宋_GB2312" w:eastAsia="仿宋_GB2312" w:cs="仿宋_GB2312"/>
          <w:sz w:val="32"/>
          <w:szCs w:val="32"/>
          <w:shd w:val="clear" w:color="auto" w:fill="FFFFFF"/>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（二）数字检察赋能高效监督。</w:t>
      </w:r>
      <w:r>
        <w:rPr>
          <w:rFonts w:hint="eastAsia" w:ascii="仿宋_GB2312" w:hAnsi="仿宋_GB2312" w:eastAsia="仿宋_GB2312" w:cs="仿宋_GB2312"/>
          <w:sz w:val="32"/>
          <w:szCs w:val="32"/>
          <w:shd w:val="clear" w:color="auto" w:fill="FFFFFF"/>
        </w:rPr>
        <w:t>积极顺应数字时代发展趋势，深入贯彻最高检“数字检察”战略部署，以“业务主导，数据整合，技术支撑，重在应用”为工作方针，扎实推进数字检察工作。夯实数据基础，依托大数据法律监督模型平台，初步构建覆盖主要检察业务的数据资源池，共应用平台模型</w:t>
      </w:r>
      <w:r>
        <w:rPr>
          <w:rFonts w:hint="eastAsia" w:ascii="Times New Roman" w:hAnsi="Times New Roman" w:eastAsia="黑体" w:cs="Times New Roman"/>
          <w:sz w:val="32"/>
          <w:szCs w:val="32"/>
        </w:rPr>
        <w:t>53</w:t>
      </w:r>
      <w:r>
        <w:rPr>
          <w:rFonts w:hint="eastAsia" w:ascii="仿宋_GB2312" w:hAnsi="仿宋_GB2312" w:eastAsia="仿宋_GB2312" w:cs="仿宋_GB2312"/>
          <w:sz w:val="32"/>
          <w:szCs w:val="32"/>
          <w:shd w:val="clear" w:color="auto" w:fill="FFFFFF"/>
        </w:rPr>
        <w:t>个，调取数据</w:t>
      </w:r>
      <w:r>
        <w:rPr>
          <w:rFonts w:hint="eastAsia" w:ascii="Times New Roman" w:hAnsi="Times New Roman" w:eastAsia="黑体" w:cs="Times New Roman"/>
          <w:sz w:val="32"/>
          <w:szCs w:val="32"/>
        </w:rPr>
        <w:t>9200</w:t>
      </w:r>
      <w:r>
        <w:rPr>
          <w:rFonts w:hint="eastAsia" w:ascii="仿宋_GB2312" w:hAnsi="仿宋_GB2312" w:eastAsia="仿宋_GB2312" w:cs="仿宋_GB2312"/>
          <w:sz w:val="32"/>
          <w:szCs w:val="32"/>
          <w:shd w:val="clear" w:color="auto" w:fill="FFFFFF"/>
        </w:rPr>
        <w:t>条，覆盖全部</w:t>
      </w:r>
      <w:r>
        <w:rPr>
          <w:rFonts w:hint="eastAsia" w:ascii="Times New Roman" w:hAnsi="Times New Roman" w:eastAsia="黑体" w:cs="Times New Roman"/>
          <w:sz w:val="32"/>
          <w:szCs w:val="32"/>
        </w:rPr>
        <w:t>50</w:t>
      </w:r>
      <w:r>
        <w:rPr>
          <w:rFonts w:hint="eastAsia" w:ascii="仿宋_GB2312" w:hAnsi="仿宋_GB2312" w:eastAsia="仿宋_GB2312" w:cs="仿宋_GB2312"/>
          <w:sz w:val="32"/>
          <w:szCs w:val="32"/>
          <w:shd w:val="clear" w:color="auto" w:fill="FFFFFF"/>
        </w:rPr>
        <w:t>个监督场景，持续推动数据与办案深度融合。聚焦实战应用，提升监督效能，在刑事追诉、民事裁判监督、行政违法行为监督、公益诉讼线索发现等领域开展类案监督，运用模型监督成案</w:t>
      </w:r>
      <w:r>
        <w:rPr>
          <w:rFonts w:hint="eastAsia" w:ascii="Times New Roman" w:hAnsi="Times New Roman" w:eastAsia="黑体" w:cs="Times New Roman"/>
          <w:sz w:val="32"/>
          <w:szCs w:val="32"/>
        </w:rPr>
        <w:t>53</w:t>
      </w:r>
      <w:r>
        <w:rPr>
          <w:rFonts w:hint="eastAsia" w:ascii="仿宋_GB2312" w:hAnsi="仿宋_GB2312" w:eastAsia="仿宋_GB2312" w:cs="仿宋_GB2312"/>
          <w:sz w:val="32"/>
          <w:szCs w:val="32"/>
          <w:shd w:val="clear" w:color="auto" w:fill="FFFFFF"/>
        </w:rPr>
        <w:t>件，制发检察建议</w:t>
      </w:r>
      <w:r>
        <w:rPr>
          <w:rFonts w:hint="eastAsia" w:ascii="Times New Roman" w:hAnsi="Times New Roman" w:eastAsia="黑体" w:cs="Times New Roman"/>
          <w:sz w:val="32"/>
          <w:szCs w:val="32"/>
        </w:rPr>
        <w:t>1</w:t>
      </w:r>
      <w:r>
        <w:rPr>
          <w:rFonts w:hint="eastAsia" w:ascii="仿宋_GB2312" w:hAnsi="仿宋_GB2312" w:eastAsia="仿宋_GB2312" w:cs="仿宋_GB2312"/>
          <w:sz w:val="32"/>
          <w:szCs w:val="32"/>
          <w:shd w:val="clear" w:color="auto" w:fill="FFFFFF"/>
        </w:rPr>
        <w:t>件，纠正违法</w:t>
      </w:r>
      <w:r>
        <w:rPr>
          <w:rFonts w:hint="eastAsia" w:ascii="Times New Roman" w:hAnsi="Times New Roman" w:eastAsia="黑体" w:cs="Times New Roman"/>
          <w:sz w:val="32"/>
          <w:szCs w:val="32"/>
        </w:rPr>
        <w:t>47</w:t>
      </w:r>
      <w:r>
        <w:rPr>
          <w:rFonts w:hint="eastAsia" w:ascii="仿宋_GB2312" w:hAnsi="仿宋_GB2312" w:eastAsia="仿宋_GB2312" w:cs="仿宋_GB2312"/>
          <w:sz w:val="32"/>
          <w:szCs w:val="32"/>
          <w:shd w:val="clear" w:color="auto" w:fill="FFFFFF"/>
        </w:rPr>
        <w:t>次，着力从“办个案”向“治类案”延伸。</w:t>
      </w:r>
    </w:p>
    <w:p w14:paraId="43C88C78">
      <w:pPr>
        <w:spacing w:line="620" w:lineRule="exact"/>
        <w:ind w:firstLine="640" w:firstLineChars="200"/>
        <w:rPr>
          <w:rFonts w:ascii="仿宋" w:hAnsi="仿宋" w:eastAsia="仿宋" w:cs="仿宋"/>
          <w:sz w:val="32"/>
          <w:szCs w:val="32"/>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（三）积极开展法治宣传活动。</w:t>
      </w:r>
      <w:r>
        <w:rPr>
          <w:rFonts w:hint="eastAsia" w:ascii="仿宋_GB2312" w:hAnsi="仿宋_GB2312" w:eastAsia="仿宋_GB2312" w:cs="仿宋_GB2312"/>
          <w:sz w:val="32"/>
          <w:szCs w:val="32"/>
          <w:shd w:val="clear" w:color="auto" w:fill="FFFFFF"/>
        </w:rPr>
        <w:t>围绕“谁执法谁普法”的要求，</w:t>
      </w:r>
      <w:r>
        <w:rPr>
          <w:rFonts w:hint="eastAsia" w:ascii="仿宋_GB2312" w:hAnsi="仿宋_GB2312" w:eastAsia="仿宋_GB2312" w:cs="仿宋_GB2312"/>
          <w:sz w:val="32"/>
          <w:szCs w:val="32"/>
        </w:rPr>
        <w:t>依托“两微一端”、线下普法等多元渠道，结合“一院一品”工作开展，精心打造本院法律宣传工作品牌“灵检之声”。全年共开展线下法治宣传</w:t>
      </w:r>
      <w:r>
        <w:rPr>
          <w:rFonts w:hint="eastAsia" w:ascii="Times New Roman" w:hAnsi="Times New Roman" w:eastAsia="黑体" w:cs="Times New Roman"/>
          <w:sz w:val="32"/>
          <w:szCs w:val="32"/>
        </w:rPr>
        <w:t>30</w:t>
      </w:r>
      <w:r>
        <w:rPr>
          <w:rFonts w:hint="eastAsia" w:ascii="仿宋_GB2312" w:hAnsi="仿宋_GB2312" w:eastAsia="仿宋_GB2312" w:cs="仿宋_GB2312"/>
          <w:sz w:val="32"/>
          <w:szCs w:val="32"/>
        </w:rPr>
        <w:t>余次，新媒体平台发布原创宣传文章</w:t>
      </w:r>
      <w:r>
        <w:rPr>
          <w:rFonts w:hint="eastAsia" w:ascii="Times New Roman" w:hAnsi="Times New Roman" w:eastAsia="黑体" w:cs="Times New Roman"/>
          <w:sz w:val="32"/>
          <w:szCs w:val="32"/>
        </w:rPr>
        <w:t>60</w:t>
      </w:r>
      <w:r>
        <w:rPr>
          <w:rFonts w:hint="eastAsia" w:ascii="仿宋_GB2312" w:hAnsi="仿宋_GB2312" w:eastAsia="仿宋_GB2312" w:cs="仿宋_GB2312"/>
          <w:sz w:val="32"/>
          <w:szCs w:val="32"/>
        </w:rPr>
        <w:t>余篇，总计浏览量达</w:t>
      </w:r>
      <w:r>
        <w:rPr>
          <w:rFonts w:hint="eastAsia" w:ascii="Times New Roman" w:hAnsi="Times New Roman" w:eastAsia="黑体" w:cs="Times New Roman"/>
          <w:sz w:val="32"/>
          <w:szCs w:val="32"/>
        </w:rPr>
        <w:t>12000</w:t>
      </w:r>
      <w:r>
        <w:rPr>
          <w:rFonts w:hint="eastAsia" w:ascii="仿宋_GB2312" w:hAnsi="仿宋_GB2312" w:eastAsia="仿宋_GB2312" w:cs="仿宋_GB2312"/>
          <w:sz w:val="32"/>
          <w:szCs w:val="32"/>
        </w:rPr>
        <w:t>余次。其中，开展“法治进校园”活动</w:t>
      </w:r>
      <w:r>
        <w:rPr>
          <w:rFonts w:hint="eastAsia" w:ascii="Times New Roman" w:hAnsi="Times New Roman" w:eastAsia="黑体" w:cs="Times New Roman"/>
          <w:sz w:val="32"/>
          <w:szCs w:val="32"/>
        </w:rPr>
        <w:t>11</w:t>
      </w:r>
      <w:r>
        <w:rPr>
          <w:rFonts w:hint="eastAsia" w:ascii="仿宋_GB2312" w:hAnsi="仿宋_GB2312" w:eastAsia="仿宋_GB2312" w:cs="仿宋_GB2312"/>
          <w:sz w:val="32"/>
          <w:szCs w:val="32"/>
        </w:rPr>
        <w:t>次，覆盖师生</w:t>
      </w:r>
      <w:r>
        <w:rPr>
          <w:rFonts w:hint="eastAsia" w:ascii="Times New Roman" w:hAnsi="Times New Roman" w:eastAsia="黑体" w:cs="Times New Roman"/>
          <w:sz w:val="32"/>
          <w:szCs w:val="32"/>
        </w:rPr>
        <w:t>2200</w:t>
      </w:r>
      <w:r>
        <w:rPr>
          <w:rFonts w:hint="eastAsia" w:ascii="仿宋_GB2312" w:hAnsi="仿宋_GB2312" w:eastAsia="仿宋_GB2312" w:cs="仿宋_GB2312"/>
          <w:sz w:val="32"/>
          <w:szCs w:val="32"/>
        </w:rPr>
        <w:t>余人，发放宣传资料</w:t>
      </w:r>
      <w:r>
        <w:rPr>
          <w:rFonts w:hint="eastAsia" w:ascii="Times New Roman" w:hAnsi="Times New Roman" w:eastAsia="黑体" w:cs="Times New Roman"/>
          <w:sz w:val="32"/>
          <w:szCs w:val="32"/>
        </w:rPr>
        <w:t>1600</w:t>
      </w:r>
      <w:r>
        <w:rPr>
          <w:rFonts w:hint="eastAsia" w:ascii="仿宋_GB2312" w:hAnsi="仿宋_GB2312" w:eastAsia="仿宋_GB2312" w:cs="仿宋_GB2312"/>
          <w:sz w:val="32"/>
          <w:szCs w:val="32"/>
        </w:rPr>
        <w:t>余份，引导未成年人增强法治意识和自我保护能力；开展“法治进机关”活动</w:t>
      </w:r>
      <w:r>
        <w:rPr>
          <w:rFonts w:hint="eastAsia" w:ascii="Times New Roman" w:hAnsi="Times New Roman" w:eastAsia="黑体" w:cs="Times New Roman"/>
          <w:sz w:val="32"/>
          <w:szCs w:val="32"/>
        </w:rPr>
        <w:t>2</w:t>
      </w:r>
      <w:r>
        <w:rPr>
          <w:rFonts w:hint="eastAsia" w:ascii="仿宋_GB2312" w:hAnsi="仿宋_GB2312" w:eastAsia="仿宋_GB2312" w:cs="仿宋_GB2312"/>
          <w:sz w:val="32"/>
          <w:szCs w:val="32"/>
        </w:rPr>
        <w:t>次，为行政机关工作人员普及相关法律法规知识，赠送强制报告宣传海报</w:t>
      </w:r>
      <w:r>
        <w:rPr>
          <w:rFonts w:hint="eastAsia" w:ascii="Times New Roman" w:hAnsi="Times New Roman" w:eastAsia="黑体" w:cs="Times New Roman"/>
          <w:sz w:val="32"/>
          <w:szCs w:val="32"/>
        </w:rPr>
        <w:t>40</w:t>
      </w:r>
      <w:r>
        <w:rPr>
          <w:rFonts w:hint="eastAsia" w:ascii="仿宋_GB2312" w:hAnsi="仿宋_GB2312" w:eastAsia="仿宋_GB2312" w:cs="仿宋_GB2312"/>
          <w:sz w:val="32"/>
          <w:szCs w:val="32"/>
        </w:rPr>
        <w:t>余份；开展“法治进社区、乡村”活动</w:t>
      </w:r>
      <w:r>
        <w:rPr>
          <w:rFonts w:hint="eastAsia" w:ascii="Times New Roman" w:hAnsi="Times New Roman" w:eastAsia="黑体" w:cs="Times New Roman"/>
          <w:sz w:val="32"/>
          <w:szCs w:val="32"/>
        </w:rPr>
        <w:t>9</w:t>
      </w:r>
      <w:r>
        <w:rPr>
          <w:rFonts w:hint="eastAsia" w:ascii="仿宋_GB2312" w:hAnsi="仿宋_GB2312" w:eastAsia="仿宋_GB2312" w:cs="仿宋_GB2312"/>
          <w:sz w:val="32"/>
          <w:szCs w:val="32"/>
        </w:rPr>
        <w:t>次，发放宣传资料</w:t>
      </w:r>
      <w:r>
        <w:rPr>
          <w:rFonts w:hint="eastAsia" w:ascii="Times New Roman" w:hAnsi="Times New Roman" w:eastAsia="黑体" w:cs="Times New Roman"/>
          <w:sz w:val="32"/>
          <w:szCs w:val="32"/>
        </w:rPr>
        <w:t>3900</w:t>
      </w:r>
      <w:r>
        <w:rPr>
          <w:rFonts w:hint="eastAsia" w:ascii="仿宋_GB2312" w:hAnsi="仿宋_GB2312" w:eastAsia="仿宋_GB2312" w:cs="仿宋_GB2312"/>
          <w:sz w:val="32"/>
          <w:szCs w:val="32"/>
        </w:rPr>
        <w:t>余份，推动法治意识深入人心。以毒品教育、防范非法集资和反洗钱宣传、知识产权保护宣传、国家安全宣传活动为着力点，开展普法宣传活动</w:t>
      </w:r>
      <w:r>
        <w:rPr>
          <w:rFonts w:hint="eastAsia" w:ascii="Times New Roman" w:hAnsi="Times New Roman" w:eastAsia="黑体" w:cs="Times New Roman"/>
          <w:sz w:val="32"/>
          <w:szCs w:val="32"/>
        </w:rPr>
        <w:t>8</w:t>
      </w:r>
      <w:r>
        <w:rPr>
          <w:rFonts w:hint="eastAsia" w:ascii="仿宋_GB2312" w:hAnsi="仿宋_GB2312" w:eastAsia="仿宋_GB2312" w:cs="仿宋_GB2312"/>
          <w:sz w:val="32"/>
          <w:szCs w:val="32"/>
        </w:rPr>
        <w:t>次，受众达</w:t>
      </w:r>
      <w:r>
        <w:rPr>
          <w:rFonts w:hint="eastAsia" w:ascii="Times New Roman" w:hAnsi="Times New Roman" w:eastAsia="黑体" w:cs="Times New Roman"/>
          <w:sz w:val="32"/>
          <w:szCs w:val="32"/>
        </w:rPr>
        <w:t>2000</w:t>
      </w:r>
      <w:r>
        <w:rPr>
          <w:rFonts w:hint="eastAsia" w:ascii="仿宋_GB2312" w:hAnsi="仿宋_GB2312" w:eastAsia="仿宋_GB2312" w:cs="仿宋_GB2312"/>
          <w:sz w:val="32"/>
          <w:szCs w:val="32"/>
        </w:rPr>
        <w:t>余人，发放宣传资料</w:t>
      </w:r>
      <w:r>
        <w:rPr>
          <w:rFonts w:hint="eastAsia" w:ascii="Times New Roman" w:hAnsi="Times New Roman" w:eastAsia="黑体" w:cs="Times New Roman"/>
          <w:sz w:val="32"/>
          <w:szCs w:val="32"/>
        </w:rPr>
        <w:t>1000</w:t>
      </w:r>
      <w:r>
        <w:rPr>
          <w:rFonts w:hint="eastAsia" w:ascii="仿宋_GB2312" w:hAnsi="仿宋_GB2312" w:eastAsia="仿宋_GB2312" w:cs="仿宋_GB2312"/>
          <w:sz w:val="32"/>
          <w:szCs w:val="32"/>
        </w:rPr>
        <w:t>余份，接受咨询</w:t>
      </w:r>
      <w:r>
        <w:rPr>
          <w:rFonts w:hint="eastAsia" w:ascii="Times New Roman" w:hAnsi="Times New Roman" w:eastAsia="黑体" w:cs="Times New Roman"/>
          <w:sz w:val="32"/>
          <w:szCs w:val="32"/>
        </w:rPr>
        <w:t>30</w:t>
      </w:r>
      <w:r>
        <w:rPr>
          <w:rFonts w:hint="eastAsia" w:ascii="仿宋_GB2312" w:hAnsi="仿宋_GB2312" w:eastAsia="仿宋_GB2312" w:cs="仿宋_GB2312"/>
          <w:sz w:val="32"/>
          <w:szCs w:val="32"/>
        </w:rPr>
        <w:t>余次，切实保障民生福祉、维护社会和谐稳定。采取“走出去”与“请进来”相结合的方式，举办“‘典’亮生活 守护美好”检察开放日活动，邀请人大代表、政协委员和行政机关代表参加座谈会，进一步增强检察机关与社会各界的互动合作，以检察担当守护群众美好生活。</w:t>
      </w:r>
    </w:p>
    <w:p w14:paraId="4E3779D3">
      <w:pPr>
        <w:spacing w:line="620" w:lineRule="exact"/>
        <w:ind w:firstLine="640" w:firstLineChars="200"/>
        <w:rPr>
          <w:rFonts w:ascii="黑体" w:hAnsi="黑体" w:eastAsia="黑体" w:cs="黑体"/>
          <w:color w:val="333333"/>
          <w:kern w:val="0"/>
          <w:sz w:val="32"/>
          <w:szCs w:val="32"/>
          <w:shd w:val="clear" w:color="auto" w:fill="FFFFFF"/>
          <w:lang w:bidi="ar"/>
        </w:rPr>
      </w:pPr>
      <w:r>
        <w:rPr>
          <w:rFonts w:hint="eastAsia" w:ascii="黑体" w:hAnsi="黑体" w:eastAsia="黑体" w:cs="黑体"/>
          <w:color w:val="333333"/>
          <w:kern w:val="0"/>
          <w:sz w:val="32"/>
          <w:szCs w:val="32"/>
          <w:shd w:val="clear" w:color="auto" w:fill="FFFFFF"/>
          <w:lang w:bidi="ar"/>
        </w:rPr>
        <w:t>四、践行司法为民理念，初心如磐传递“检察温度”</w:t>
      </w:r>
    </w:p>
    <w:p w14:paraId="48BFF19A">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坚持把为人民司法、让人民满意作为一切检察工作的出发点和落脚点，持续做实检察为民，让检察办案既有力度更显温度。</w:t>
      </w:r>
    </w:p>
    <w:p w14:paraId="52A20C79">
      <w:pPr>
        <w:pStyle w:val="2"/>
        <w:spacing w:after="0" w:line="620" w:lineRule="exact"/>
        <w:ind w:firstLine="640" w:firstLineChars="200"/>
        <w:rPr>
          <w:rFonts w:ascii="楷体" w:hAnsi="楷体" w:eastAsia="楷体" w:cs="楷体"/>
          <w:color w:val="333333"/>
          <w:kern w:val="0"/>
          <w:sz w:val="32"/>
          <w:szCs w:val="32"/>
          <w:shd w:val="clear" w:color="auto" w:fill="FFFFFF"/>
          <w:lang w:bidi="ar"/>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（一）用心呵护未成年人健康成长。</w:t>
      </w:r>
      <w:r>
        <w:rPr>
          <w:rFonts w:hint="eastAsia" w:ascii="仿宋_GB2312" w:hAnsi="仿宋_GB2312" w:eastAsia="仿宋_GB2312" w:cs="仿宋_GB2312"/>
          <w:sz w:val="32"/>
          <w:szCs w:val="32"/>
        </w:rPr>
        <w:t>坚持“预防就是保护、惩治也是挽救”工作原则，以司法保护为主导，协同推动“六大保护”融合发力，扎实开展未成年人检察工作。联合卫健体局开展专题培训，为医疗系统工作人员深度解读侵害未成年人案件强制报告制度，提升从业人员主动报告意识，筑牢未成年人保护“隐形防护墙”。联合团委、妇联、平型关义工联开展“把爱带回家 同心护成长”寒假结对关爱活动，邀请家庭教育指导老师、“爱心妈妈”代表及志愿者，为</w:t>
      </w:r>
      <w:r>
        <w:rPr>
          <w:rFonts w:hint="eastAsia" w:ascii="Times New Roman" w:hAnsi="Times New Roman" w:eastAsia="黑体" w:cs="Times New Roman"/>
          <w:sz w:val="32"/>
          <w:szCs w:val="32"/>
        </w:rPr>
        <w:t>50</w:t>
      </w:r>
      <w:r>
        <w:rPr>
          <w:rFonts w:hint="eastAsia" w:ascii="仿宋_GB2312" w:hAnsi="仿宋_GB2312" w:eastAsia="仿宋_GB2312" w:cs="仿宋_GB2312"/>
          <w:sz w:val="32"/>
          <w:szCs w:val="32"/>
        </w:rPr>
        <w:t>余名困境儿童提供心理辅导、学业帮扶和生活关怀，助力其健康成长。联合司法局、团委、妇联等部门深入乡镇、社区开展主题宣传活动，并在家庭教育指导站组织家庭教育指导师与家长座谈交流，引导家长树立正确教育观念，强化家庭保护责任。</w:t>
      </w:r>
    </w:p>
    <w:p w14:paraId="04F0C586">
      <w:pPr>
        <w:spacing w:line="620" w:lineRule="exact"/>
        <w:ind w:firstLine="640" w:firstLineChars="200"/>
        <w:rPr>
          <w:rFonts w:ascii="仿宋_GB2312" w:hAnsi="仿宋_GB2312" w:eastAsia="仿宋_GB2312" w:cs="仿宋_GB2312"/>
          <w:spacing w:val="4"/>
          <w:sz w:val="32"/>
          <w:szCs w:val="32"/>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（二）依法化解涉法涉诉矛盾纠纷。</w:t>
      </w:r>
      <w:r>
        <w:rPr>
          <w:rFonts w:hint="eastAsia" w:ascii="仿宋_GB2312" w:hAnsi="仿宋_GB2312" w:eastAsia="仿宋_GB2312" w:cs="仿宋_GB2312"/>
          <w:sz w:val="32"/>
          <w:szCs w:val="32"/>
        </w:rPr>
        <w:t>深入践行和发展新时代“枫桥经验”，将实质性化解矛盾纠纷作为核心目标贯穿“四大检察”办案全流程。严格对标最高检“群众信访件件有回复”制度要求，依法受理各类信访案件</w:t>
      </w:r>
      <w:r>
        <w:rPr>
          <w:rFonts w:hint="eastAsia" w:ascii="Times New Roman" w:hAnsi="Times New Roman" w:eastAsia="黑体" w:cs="Times New Roman"/>
          <w:sz w:val="32"/>
          <w:szCs w:val="32"/>
        </w:rPr>
        <w:t>31</w:t>
      </w:r>
      <w:r>
        <w:rPr>
          <w:rFonts w:hint="eastAsia" w:ascii="仿宋_GB2312" w:hAnsi="仿宋_GB2312" w:eastAsia="仿宋_GB2312" w:cs="仿宋_GB2312"/>
          <w:sz w:val="32"/>
          <w:szCs w:val="32"/>
        </w:rPr>
        <w:t>件，为</w:t>
      </w:r>
      <w:r>
        <w:rPr>
          <w:rFonts w:hint="eastAsia" w:ascii="Times New Roman" w:hAnsi="Times New Roman" w:eastAsia="黑体" w:cs="Times New Roman"/>
          <w:sz w:val="32"/>
          <w:szCs w:val="32"/>
        </w:rPr>
        <w:t>41</w:t>
      </w:r>
      <w:r>
        <w:rPr>
          <w:rFonts w:hint="eastAsia" w:ascii="仿宋_GB2312" w:hAnsi="仿宋_GB2312" w:eastAsia="仿宋_GB2312" w:cs="仿宋_GB2312"/>
          <w:sz w:val="32"/>
          <w:szCs w:val="32"/>
        </w:rPr>
        <w:t>名信访群众排忧解难。第一时间回应群众关切，对办结的所有信访案件，均实现7日内程序性回复，回复率达</w:t>
      </w:r>
      <w:r>
        <w:rPr>
          <w:rFonts w:hint="eastAsia" w:ascii="Times New Roman" w:hAnsi="Times New Roman" w:eastAsia="黑体" w:cs="Times New Roman"/>
          <w:sz w:val="32"/>
          <w:szCs w:val="32"/>
        </w:rPr>
        <w:t>100%</w:t>
      </w:r>
      <w:r>
        <w:rPr>
          <w:rFonts w:hint="eastAsia" w:ascii="仿宋_GB2312" w:hAnsi="仿宋_GB2312" w:eastAsia="仿宋_GB2312" w:cs="仿宋_GB2312"/>
          <w:sz w:val="32"/>
          <w:szCs w:val="32"/>
        </w:rPr>
        <w:t>；对信访案件办理过程中的关键进展、处理意见及最终结果，均在</w:t>
      </w:r>
      <w:r>
        <w:rPr>
          <w:rFonts w:hint="eastAsia" w:ascii="Times New Roman" w:hAnsi="Times New Roman" w:eastAsia="黑体" w:cs="Times New Roman"/>
          <w:sz w:val="32"/>
          <w:szCs w:val="32"/>
        </w:rPr>
        <w:t>3</w:t>
      </w:r>
      <w:r>
        <w:rPr>
          <w:rFonts w:hint="eastAsia" w:ascii="仿宋_GB2312" w:hAnsi="仿宋_GB2312" w:eastAsia="仿宋_GB2312" w:cs="仿宋_GB2312"/>
          <w:sz w:val="32"/>
          <w:szCs w:val="32"/>
        </w:rPr>
        <w:t>个月内完成实质性答复，答复率实现</w:t>
      </w:r>
      <w:r>
        <w:rPr>
          <w:rFonts w:hint="eastAsia" w:ascii="Times New Roman" w:hAnsi="Times New Roman" w:eastAsia="黑体" w:cs="Times New Roman"/>
          <w:sz w:val="32"/>
          <w:szCs w:val="32"/>
        </w:rPr>
        <w:t>100%</w:t>
      </w:r>
      <w:r>
        <w:rPr>
          <w:rFonts w:hint="eastAsia" w:ascii="仿宋_GB2312" w:hAnsi="仿宋_GB2312" w:eastAsia="仿宋_GB2312" w:cs="仿宋_GB2312"/>
          <w:sz w:val="32"/>
          <w:szCs w:val="32"/>
        </w:rPr>
        <w:t>；同步做好</w:t>
      </w:r>
      <w:r>
        <w:rPr>
          <w:rFonts w:hint="eastAsia" w:ascii="仿宋_GB2312" w:hAnsi="仿宋_GB2312" w:eastAsia="仿宋_GB2312" w:cs="仿宋_GB2312"/>
          <w:spacing w:val="4"/>
          <w:sz w:val="32"/>
          <w:szCs w:val="32"/>
        </w:rPr>
        <w:t>释法说理、情绪疏导工作，切实保障群众的知情权、参与权与监督权，不断提升人民群众对检察工作的满意度与信任感。</w:t>
      </w:r>
    </w:p>
    <w:p w14:paraId="51FFAF59">
      <w:pPr>
        <w:spacing w:line="620" w:lineRule="exact"/>
        <w:ind w:firstLine="640" w:firstLineChars="200"/>
        <w:rPr>
          <w:rFonts w:ascii="仿宋_GB2312" w:hAnsi="仿宋_GB2312" w:eastAsia="仿宋_GB2312" w:cs="仿宋_GB2312"/>
          <w:sz w:val="32"/>
          <w:szCs w:val="32"/>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（三）深化落实各项便民利民举措。</w:t>
      </w:r>
      <w:r>
        <w:rPr>
          <w:rFonts w:hint="eastAsia" w:ascii="仿宋_GB2312" w:hAnsi="仿宋_GB2312" w:eastAsia="仿宋_GB2312" w:cs="仿宋_GB2312"/>
          <w:sz w:val="32"/>
          <w:szCs w:val="32"/>
        </w:rPr>
        <w:t>深入推进“检护民生”专项行动，着力加强民生司法保障，以检察“力度”提升民生“温度”。充分发挥支持起诉检察职能，全年共办理农民工支持起诉案件</w:t>
      </w:r>
      <w:r>
        <w:rPr>
          <w:rFonts w:hint="eastAsia" w:ascii="Times New Roman" w:hAnsi="Times New Roman" w:eastAsia="黑体" w:cs="Times New Roman"/>
          <w:sz w:val="32"/>
          <w:szCs w:val="32"/>
        </w:rPr>
        <w:t>10</w:t>
      </w:r>
      <w:r>
        <w:rPr>
          <w:rFonts w:hint="eastAsia" w:ascii="仿宋_GB2312" w:hAnsi="仿宋_GB2312" w:eastAsia="仿宋_GB2312" w:cs="仿宋_GB2312"/>
          <w:sz w:val="32"/>
          <w:szCs w:val="32"/>
        </w:rPr>
        <w:t>件，帮助农民工</w:t>
      </w:r>
      <w:r>
        <w:rPr>
          <w:rFonts w:hint="eastAsia" w:ascii="Times New Roman" w:hAnsi="Times New Roman" w:eastAsia="黑体" w:cs="Times New Roman"/>
          <w:sz w:val="32"/>
          <w:szCs w:val="32"/>
        </w:rPr>
        <w:t>36</w:t>
      </w:r>
      <w:r>
        <w:rPr>
          <w:rFonts w:hint="eastAsia" w:ascii="仿宋_GB2312" w:hAnsi="仿宋_GB2312" w:eastAsia="仿宋_GB2312" w:cs="仿宋_GB2312"/>
          <w:sz w:val="32"/>
          <w:szCs w:val="32"/>
        </w:rPr>
        <w:t>人，追回欠薪</w:t>
      </w:r>
      <w:r>
        <w:rPr>
          <w:rFonts w:hint="eastAsia" w:ascii="Times New Roman" w:hAnsi="Times New Roman" w:eastAsia="黑体" w:cs="Times New Roman"/>
          <w:sz w:val="32"/>
          <w:szCs w:val="32"/>
        </w:rPr>
        <w:t>35</w:t>
      </w:r>
      <w:r>
        <w:rPr>
          <w:rFonts w:hint="eastAsia" w:ascii="仿宋_GB2312" w:hAnsi="仿宋_GB2312" w:eastAsia="仿宋_GB2312" w:cs="仿宋_GB2312"/>
          <w:sz w:val="32"/>
          <w:szCs w:val="32"/>
        </w:rPr>
        <w:t>万余元，切实维护弱势群体的合法权益。聚焦老年人特殊群体权益保障和老年食堂等特定场所餐饮安全，依法向相关行政机关制发检察建议，督促行政机关对涉案老年食堂存在的问题限期整改，消除食品安全隐患，切实保障老年群体食品安全，让老年人老有所养、老有所乐、老有所安。积极推行刑事和解、释法说理、公开听证等工作机制，召开检察听证会</w:t>
      </w:r>
      <w:r>
        <w:rPr>
          <w:rFonts w:hint="eastAsia" w:ascii="Times New Roman" w:hAnsi="Times New Roman" w:eastAsia="黑体" w:cs="Times New Roman"/>
          <w:sz w:val="32"/>
          <w:szCs w:val="32"/>
        </w:rPr>
        <w:t>3</w:t>
      </w:r>
      <w:r>
        <w:rPr>
          <w:rFonts w:hint="eastAsia" w:ascii="仿宋_GB2312" w:hAnsi="仿宋_GB2312" w:eastAsia="仿宋_GB2312" w:cs="仿宋_GB2312"/>
          <w:sz w:val="32"/>
          <w:szCs w:val="32"/>
        </w:rPr>
        <w:t>次，推动“法结”“心结”一起解；用足用好司法救助政策，创新运用司法救助大数据模型，确保“应救即救，精准施救”，全年度共救助</w:t>
      </w:r>
      <w:r>
        <w:rPr>
          <w:rFonts w:hint="eastAsia" w:ascii="Times New Roman" w:hAnsi="Times New Roman" w:eastAsia="黑体" w:cs="Times New Roman"/>
          <w:sz w:val="32"/>
          <w:szCs w:val="32"/>
        </w:rPr>
        <w:t>4</w:t>
      </w:r>
      <w:r>
        <w:rPr>
          <w:rFonts w:hint="eastAsia" w:ascii="仿宋_GB2312" w:hAnsi="仿宋_GB2312" w:eastAsia="仿宋_GB2312" w:cs="仿宋_GB2312"/>
          <w:sz w:val="32"/>
          <w:szCs w:val="32"/>
        </w:rPr>
        <w:t>件</w:t>
      </w:r>
      <w:r>
        <w:rPr>
          <w:rFonts w:hint="eastAsia" w:ascii="Times New Roman" w:hAnsi="Times New Roman" w:eastAsia="黑体" w:cs="Times New Roman"/>
          <w:sz w:val="32"/>
          <w:szCs w:val="32"/>
        </w:rPr>
        <w:t>4</w:t>
      </w:r>
      <w:r>
        <w:rPr>
          <w:rFonts w:hint="eastAsia" w:ascii="仿宋_GB2312" w:hAnsi="仿宋_GB2312" w:eastAsia="仿宋_GB2312" w:cs="仿宋_GB2312"/>
          <w:sz w:val="32"/>
          <w:szCs w:val="32"/>
        </w:rPr>
        <w:t>人，通过精准帮扶传递司法温度。</w:t>
      </w:r>
    </w:p>
    <w:p w14:paraId="455559CB">
      <w:pPr>
        <w:spacing w:line="620" w:lineRule="exact"/>
        <w:ind w:firstLine="640" w:firstLineChars="200"/>
        <w:rPr>
          <w:rFonts w:hint="eastAsia" w:ascii="黑体" w:hAnsi="黑体" w:eastAsia="黑体" w:cs="黑体"/>
          <w:color w:val="333333"/>
          <w:kern w:val="0"/>
          <w:sz w:val="32"/>
          <w:szCs w:val="32"/>
          <w:shd w:val="clear" w:color="auto" w:fill="FFFFFF"/>
          <w:lang w:eastAsia="zh-CN" w:bidi="ar"/>
        </w:rPr>
      </w:pPr>
      <w:r>
        <w:rPr>
          <w:rFonts w:hint="eastAsia" w:ascii="黑体" w:hAnsi="黑体" w:eastAsia="黑体" w:cs="黑体"/>
          <w:color w:val="333333"/>
          <w:kern w:val="0"/>
          <w:sz w:val="32"/>
          <w:szCs w:val="32"/>
          <w:shd w:val="clear" w:color="auto" w:fill="FFFFFF"/>
          <w:lang w:bidi="ar"/>
        </w:rPr>
        <w:t>五、顺应时代发展要求，固本强基激活</w:t>
      </w:r>
      <w:r>
        <w:rPr>
          <w:rFonts w:hint="eastAsia" w:ascii="黑体" w:hAnsi="黑体" w:eastAsia="黑体" w:cs="黑体"/>
          <w:color w:val="333333"/>
          <w:kern w:val="0"/>
          <w:sz w:val="32"/>
          <w:szCs w:val="32"/>
          <w:shd w:val="clear" w:color="auto" w:fill="FFFFFF"/>
          <w:lang w:eastAsia="zh-CN" w:bidi="ar"/>
        </w:rPr>
        <w:t>“</w:t>
      </w:r>
      <w:r>
        <w:rPr>
          <w:rFonts w:hint="eastAsia" w:ascii="黑体" w:hAnsi="黑体" w:eastAsia="黑体" w:cs="黑体"/>
          <w:color w:val="333333"/>
          <w:kern w:val="0"/>
          <w:sz w:val="32"/>
          <w:szCs w:val="32"/>
          <w:shd w:val="clear" w:color="auto" w:fill="FFFFFF"/>
          <w:lang w:bidi="ar"/>
        </w:rPr>
        <w:t>检察动能</w:t>
      </w:r>
      <w:r>
        <w:rPr>
          <w:rFonts w:hint="eastAsia" w:ascii="黑体" w:hAnsi="黑体" w:eastAsia="黑体" w:cs="黑体"/>
          <w:color w:val="333333"/>
          <w:kern w:val="0"/>
          <w:sz w:val="32"/>
          <w:szCs w:val="32"/>
          <w:shd w:val="clear" w:color="auto" w:fill="FFFFFF"/>
          <w:lang w:eastAsia="zh-CN" w:bidi="ar"/>
        </w:rPr>
        <w:t>”</w:t>
      </w:r>
    </w:p>
    <w:p w14:paraId="0F14F35E">
      <w:pPr>
        <w:pStyle w:val="2"/>
        <w:spacing w:after="0"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以守正创新助力提升服务保障质效，以全面从严加强检察队伍建设，在改革创新中夯实检察工作自身高质量发展和服务保障高质量发展根基。</w:t>
      </w:r>
    </w:p>
    <w:p w14:paraId="2CFD7C2A">
      <w:pPr>
        <w:numPr>
          <w:ilvl w:val="0"/>
          <w:numId w:val="2"/>
        </w:numPr>
        <w:spacing w:line="610" w:lineRule="exact"/>
        <w:ind w:firstLine="640" w:firstLineChars="200"/>
        <w:rPr>
          <w:rFonts w:ascii="仿宋_GB2312" w:hAnsi="仿宋_GB2312" w:eastAsia="仿宋_GB2312" w:cs="仿宋_GB2312"/>
          <w:sz w:val="32"/>
          <w:szCs w:val="32"/>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强化专业能力，提升办案素能。</w:t>
      </w:r>
      <w:r>
        <w:rPr>
          <w:rFonts w:hint="eastAsia" w:ascii="仿宋_GB2312" w:hAnsi="仿宋_GB2312" w:eastAsia="仿宋_GB2312" w:cs="仿宋_GB2312"/>
          <w:sz w:val="32"/>
          <w:szCs w:val="32"/>
        </w:rPr>
        <w:t>加强政治与业务融合培训，严格以省院《关于贯彻落实&lt;全国检察教育培训规划（</w:t>
      </w:r>
      <w:r>
        <w:rPr>
          <w:rFonts w:hint="eastAsia" w:ascii="Times New Roman" w:hAnsi="Times New Roman" w:eastAsia="黑体" w:cs="Times New Roman"/>
          <w:sz w:val="32"/>
          <w:szCs w:val="32"/>
        </w:rPr>
        <w:t>2023-2027</w:t>
      </w:r>
      <w:r>
        <w:rPr>
          <w:rFonts w:hint="eastAsia" w:ascii="仿宋_GB2312" w:hAnsi="仿宋_GB2312" w:eastAsia="仿宋_GB2312" w:cs="仿宋_GB2312"/>
          <w:sz w:val="32"/>
          <w:szCs w:val="32"/>
        </w:rPr>
        <w:t>年）&gt;的实施意见》为指导，结合不同业务条线培训需求，采取不同的业务培训组训模式，统筹开展覆盖“四大检察”的高质量业务培训。今年以来，我院依托“中检网”共组织开展各类检察业务培训班</w:t>
      </w:r>
      <w:r>
        <w:rPr>
          <w:rFonts w:hint="eastAsia" w:ascii="Times New Roman" w:hAnsi="Times New Roman" w:eastAsia="黑体" w:cs="Times New Roman"/>
          <w:sz w:val="32"/>
          <w:szCs w:val="32"/>
        </w:rPr>
        <w:t>19</w:t>
      </w:r>
      <w:r>
        <w:rPr>
          <w:rFonts w:hint="eastAsia" w:ascii="仿宋_GB2312" w:hAnsi="仿宋_GB2312" w:eastAsia="仿宋_GB2312" w:cs="仿宋_GB2312"/>
          <w:sz w:val="32"/>
          <w:szCs w:val="32"/>
        </w:rPr>
        <w:t>期</w:t>
      </w:r>
      <w:r>
        <w:rPr>
          <w:rFonts w:hint="eastAsia" w:ascii="Times New Roman" w:hAnsi="Times New Roman" w:eastAsia="黑体" w:cs="Times New Roman"/>
          <w:sz w:val="32"/>
          <w:szCs w:val="32"/>
        </w:rPr>
        <w:t>149</w:t>
      </w:r>
      <w:r>
        <w:rPr>
          <w:rFonts w:hint="eastAsia" w:ascii="仿宋_GB2312" w:hAnsi="仿宋_GB2312" w:eastAsia="仿宋_GB2312" w:cs="仿宋_GB2312"/>
          <w:sz w:val="32"/>
          <w:szCs w:val="32"/>
        </w:rPr>
        <w:t>人次。切实加强司法警察队伍管理，按照省院优化司法警察大队管理的部署要求，将本院司法警察大队归入政治部管理，对司法警察编队管理、日常履职、运行机制、人员管理等进行规范，不断推进法警队伍规范化建设，提高法警队伍专业化能力，为检察办案提供坚实警务保障。建成并投入使用公益诉讼快速检测实验室，为公益诉讼案件线索发现、勘查取证等工作提供更为完善的技术支撑。高度重视检察理论研究的基础性，战略性作用，坚持以习近平法治思想为指引，围绕服务大局、司法改革与检察实践中的重点难点问题，组织干警参与多项理论研究投稿工作，两篇文章分别在山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安徽等六省法学会组织的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中部崛起法治论坛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和全省检察理论年会获奖。</w:t>
      </w:r>
    </w:p>
    <w:p w14:paraId="112AA260">
      <w:pPr>
        <w:pStyle w:val="6"/>
        <w:spacing w:beforeAutospacing="0" w:afterAutospacing="0" w:line="610" w:lineRule="exact"/>
        <w:ind w:firstLine="640" w:firstLineChars="200"/>
        <w:jc w:val="both"/>
        <w:rPr>
          <w:rFonts w:ascii="仿宋_GB2312" w:hAnsi="仿宋_GB2312" w:eastAsia="仿宋_GB2312" w:cs="仿宋_GB2312"/>
          <w:sz w:val="32"/>
          <w:szCs w:val="40"/>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（二）严肃监督执纪，加强日常监督。</w:t>
      </w:r>
      <w:r>
        <w:rPr>
          <w:rFonts w:hint="eastAsia" w:ascii="仿宋_GB2312" w:hAnsi="仿宋_GB2312" w:eastAsia="仿宋_GB2312" w:cs="仿宋_GB2312"/>
          <w:sz w:val="32"/>
          <w:szCs w:val="32"/>
        </w:rPr>
        <w:t>紧盯重要时间节点和重点群体，组织班子成员、部门负责人和员额检察官开展集体廉政谈话，切实强化主体责任意识和政治担当。今年以来，共召开专题会议</w:t>
      </w:r>
      <w:r>
        <w:rPr>
          <w:rFonts w:hint="eastAsia" w:ascii="Times New Roman" w:hAnsi="Times New Roman" w:eastAsia="黑体"/>
          <w:kern w:val="2"/>
          <w:sz w:val="32"/>
          <w:szCs w:val="32"/>
        </w:rPr>
        <w:t>2</w:t>
      </w:r>
      <w:r>
        <w:rPr>
          <w:rFonts w:hint="eastAsia" w:ascii="仿宋_GB2312" w:hAnsi="仿宋_GB2312" w:eastAsia="仿宋_GB2312" w:cs="仿宋_GB2312"/>
          <w:sz w:val="32"/>
          <w:szCs w:val="32"/>
        </w:rPr>
        <w:t>次研究党风廉政和从严治党工作，开展集体廉政谈话</w:t>
      </w:r>
      <w:r>
        <w:rPr>
          <w:rFonts w:hint="eastAsia" w:ascii="Times New Roman" w:hAnsi="Times New Roman" w:eastAsia="黑体"/>
          <w:kern w:val="2"/>
          <w:sz w:val="32"/>
          <w:szCs w:val="32"/>
        </w:rPr>
        <w:t>6</w:t>
      </w:r>
      <w:r>
        <w:rPr>
          <w:rFonts w:hint="eastAsia" w:ascii="仿宋_GB2312" w:hAnsi="仿宋_GB2312" w:eastAsia="仿宋_GB2312" w:cs="仿宋_GB2312"/>
          <w:sz w:val="32"/>
          <w:szCs w:val="32"/>
        </w:rPr>
        <w:t>次、个人廉政谈话</w:t>
      </w:r>
      <w:r>
        <w:rPr>
          <w:rFonts w:hint="eastAsia" w:ascii="Times New Roman" w:hAnsi="Times New Roman" w:eastAsia="黑体"/>
          <w:kern w:val="2"/>
          <w:sz w:val="32"/>
          <w:szCs w:val="32"/>
        </w:rPr>
        <w:t>2</w:t>
      </w:r>
      <w:r>
        <w:rPr>
          <w:rFonts w:hint="eastAsia" w:ascii="仿宋_GB2312" w:hAnsi="仿宋_GB2312" w:eastAsia="仿宋_GB2312" w:cs="仿宋_GB2312"/>
          <w:sz w:val="32"/>
          <w:szCs w:val="32"/>
        </w:rPr>
        <w:t>次。扎实开展深入贯彻中央八项规定精神学习教育，</w:t>
      </w:r>
      <w:r>
        <w:rPr>
          <w:rFonts w:hint="eastAsia" w:ascii="仿宋_GB2312" w:hAnsi="仿宋_GB2312" w:eastAsia="仿宋_GB2312" w:cs="仿宋_GB2312"/>
          <w:sz w:val="32"/>
          <w:szCs w:val="40"/>
        </w:rPr>
        <w:t>牢牢把握主题主线和根本任务，切实抓好理论学习、专题研讨、意见征求、查摆整改、警示教育等各个环节的落实。学习教育开展以来，先后召开</w:t>
      </w:r>
      <w:r>
        <w:rPr>
          <w:rFonts w:hint="eastAsia" w:ascii="Times New Roman" w:hAnsi="Times New Roman" w:eastAsia="黑体"/>
          <w:kern w:val="2"/>
          <w:sz w:val="32"/>
          <w:szCs w:val="32"/>
        </w:rPr>
        <w:t>7</w:t>
      </w:r>
      <w:r>
        <w:rPr>
          <w:rFonts w:hint="eastAsia" w:ascii="仿宋_GB2312" w:hAnsi="仿宋_GB2312" w:eastAsia="仿宋_GB2312" w:cs="仿宋_GB2312"/>
          <w:sz w:val="32"/>
          <w:szCs w:val="40"/>
        </w:rPr>
        <w:t>次党组会议部署研究，组织集体学习</w:t>
      </w:r>
      <w:r>
        <w:rPr>
          <w:rFonts w:hint="eastAsia" w:ascii="Times New Roman" w:hAnsi="Times New Roman" w:eastAsia="黑体"/>
          <w:kern w:val="2"/>
          <w:sz w:val="32"/>
          <w:szCs w:val="32"/>
        </w:rPr>
        <w:t>5</w:t>
      </w:r>
      <w:r>
        <w:rPr>
          <w:rFonts w:hint="eastAsia" w:ascii="仿宋_GB2312" w:hAnsi="仿宋_GB2312" w:eastAsia="仿宋_GB2312" w:cs="仿宋_GB2312"/>
          <w:sz w:val="32"/>
          <w:szCs w:val="40"/>
        </w:rPr>
        <w:t>次，专题研讨</w:t>
      </w:r>
      <w:r>
        <w:rPr>
          <w:rFonts w:hint="eastAsia" w:ascii="Times New Roman" w:hAnsi="Times New Roman" w:eastAsia="黑体"/>
          <w:kern w:val="2"/>
          <w:sz w:val="32"/>
          <w:szCs w:val="32"/>
        </w:rPr>
        <w:t>6</w:t>
      </w:r>
      <w:r>
        <w:rPr>
          <w:rFonts w:hint="eastAsia" w:ascii="仿宋_GB2312" w:hAnsi="仿宋_GB2312" w:eastAsia="仿宋_GB2312" w:cs="仿宋_GB2312"/>
          <w:sz w:val="32"/>
          <w:szCs w:val="40"/>
        </w:rPr>
        <w:t>次，廉政警示教育</w:t>
      </w:r>
      <w:r>
        <w:rPr>
          <w:rFonts w:hint="eastAsia" w:ascii="Times New Roman" w:hAnsi="Times New Roman" w:eastAsia="黑体"/>
          <w:kern w:val="2"/>
          <w:sz w:val="32"/>
          <w:szCs w:val="32"/>
        </w:rPr>
        <w:t>5</w:t>
      </w:r>
      <w:r>
        <w:rPr>
          <w:rFonts w:hint="eastAsia" w:ascii="仿宋_GB2312" w:hAnsi="仿宋_GB2312" w:eastAsia="仿宋_GB2312" w:cs="仿宋_GB2312"/>
          <w:sz w:val="32"/>
          <w:szCs w:val="40"/>
        </w:rPr>
        <w:t>次，举办专题读书班</w:t>
      </w:r>
      <w:r>
        <w:rPr>
          <w:rFonts w:hint="eastAsia" w:ascii="Times New Roman" w:hAnsi="Times New Roman" w:eastAsia="黑体"/>
          <w:kern w:val="2"/>
          <w:sz w:val="32"/>
          <w:szCs w:val="32"/>
        </w:rPr>
        <w:t>1</w:t>
      </w:r>
      <w:r>
        <w:rPr>
          <w:rFonts w:hint="eastAsia" w:ascii="仿宋_GB2312" w:hAnsi="仿宋_GB2312" w:eastAsia="仿宋_GB2312" w:cs="仿宋_GB2312"/>
          <w:sz w:val="32"/>
          <w:szCs w:val="40"/>
        </w:rPr>
        <w:t>期。以今年市院党组对本院党组的政治督察和市委对本院政治巡察为契机，坚持问题导向，聚焦规定的重点领域对本院近年来的工作进行全面的“政治体检”，针对存在的问题深刻剖析根源、制定有效措施，</w:t>
      </w:r>
      <w:r>
        <w:rPr>
          <w:rFonts w:hint="eastAsia" w:ascii="仿宋_GB2312" w:hAnsi="仿宋_GB2312" w:eastAsia="仿宋_GB2312" w:cs="仿宋_GB2312"/>
          <w:sz w:val="32"/>
          <w:szCs w:val="32"/>
        </w:rPr>
        <w:t>确保检察工作始终保持正确方向。</w:t>
      </w:r>
    </w:p>
    <w:p w14:paraId="53418D4F">
      <w:pPr>
        <w:spacing w:line="610" w:lineRule="exact"/>
        <w:ind w:firstLine="640" w:firstLineChars="200"/>
        <w:rPr>
          <w:rFonts w:ascii="仿宋" w:hAnsi="仿宋" w:eastAsia="仿宋" w:cs="仿宋"/>
          <w:sz w:val="32"/>
          <w:szCs w:val="32"/>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（三）聚焦青年群体，营造学习氛围。</w:t>
      </w:r>
      <w:r>
        <w:rPr>
          <w:rFonts w:hint="eastAsia" w:ascii="仿宋_GB2312" w:hAnsi="仿宋_GB2312" w:eastAsia="仿宋_GB2312" w:cs="仿宋_GB2312"/>
          <w:sz w:val="32"/>
          <w:szCs w:val="32"/>
          <w:shd w:val="clear" w:color="auto" w:fill="FFFFFF"/>
        </w:rPr>
        <w:t>围绕提高青年检察干警综合素质、培育检察重点人才，高质量开展</w:t>
      </w:r>
      <w:r>
        <w:rPr>
          <w:rFonts w:hint="eastAsia" w:ascii="仿宋_GB2312" w:hAnsi="仿宋_GB2312" w:eastAsia="仿宋_GB2312" w:cs="仿宋_GB2312"/>
          <w:sz w:val="32"/>
          <w:szCs w:val="32"/>
        </w:rPr>
        <w:t>“青年学堂”学习培训工作，打造“灵晖”品牌。综合提升青年干警学、讲能力，班子成员率作出表率，为青年干警授课</w:t>
      </w:r>
      <w:r>
        <w:rPr>
          <w:rFonts w:hint="eastAsia" w:ascii="Times New Roman" w:hAnsi="Times New Roman" w:eastAsia="黑体" w:cs="Times New Roman"/>
          <w:sz w:val="32"/>
          <w:szCs w:val="32"/>
        </w:rPr>
        <w:t>4</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结合深入贯彻中央八项规定精神学习教育、全市政法系统“司法质效感受提升年”专项行动，聚焦提升政治能力、业务能力，全年开展“青年学堂”活动</w:t>
      </w:r>
      <w:r>
        <w:rPr>
          <w:rFonts w:hint="eastAsia" w:ascii="Times New Roman" w:hAnsi="Times New Roman" w:eastAsia="黑体" w:cs="Times New Roman"/>
          <w:sz w:val="32"/>
          <w:szCs w:val="32"/>
        </w:rPr>
        <w:t>8</w:t>
      </w:r>
      <w:r>
        <w:rPr>
          <w:rFonts w:hint="eastAsia" w:ascii="仿宋_GB2312" w:hAnsi="仿宋_GB2312" w:eastAsia="仿宋_GB2312" w:cs="仿宋_GB2312"/>
          <w:sz w:val="32"/>
          <w:szCs w:val="32"/>
        </w:rPr>
        <w:t>期，参训青年干警</w:t>
      </w:r>
      <w:r>
        <w:rPr>
          <w:rFonts w:hint="eastAsia" w:ascii="Times New Roman" w:hAnsi="Times New Roman" w:eastAsia="黑体" w:cs="Times New Roman"/>
          <w:sz w:val="32"/>
          <w:szCs w:val="32"/>
        </w:rPr>
        <w:t>170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人次，有效营造良好学习氛围。</w:t>
      </w:r>
    </w:p>
    <w:p w14:paraId="10E925E4">
      <w:pPr>
        <w:spacing w:line="610" w:lineRule="exact"/>
        <w:ind w:firstLine="640" w:firstLineChars="200"/>
        <w:rPr>
          <w:rFonts w:ascii="仿宋_GB2312" w:hAnsi="仿宋_GB2312" w:eastAsia="仿宋_GB2312" w:cs="仿宋_GB2312"/>
          <w:kern w:val="0"/>
          <w:sz w:val="32"/>
          <w:szCs w:val="40"/>
          <w:lang w:bidi="ar"/>
        </w:rPr>
      </w:pPr>
      <w:r>
        <w:rPr>
          <w:rFonts w:ascii="仿宋_GB2312" w:hAnsi="仿宋_GB2312" w:eastAsia="仿宋_GB2312" w:cs="仿宋_GB2312"/>
          <w:kern w:val="0"/>
          <w:sz w:val="32"/>
          <w:szCs w:val="40"/>
          <w:lang w:bidi="ar"/>
        </w:rPr>
        <w:t>各位代表，各项成绩的取得，是县委和上级检察机关坚强领导的结果，是县人大及其常委会有力监督和县政府大力支持的结果，是县政协民主监督和社会各界关心帮助的结果。在此，我谨代表县人民检察院向一直以来关心支持我们的各位领导、同志和社会各界人士表示衷心的感谢和崇高的敬意！</w:t>
      </w:r>
    </w:p>
    <w:p w14:paraId="0491BCCC">
      <w:pPr>
        <w:spacing w:line="610" w:lineRule="exact"/>
        <w:ind w:firstLine="640" w:firstLineChars="200"/>
        <w:rPr>
          <w:rFonts w:ascii="仿宋_GB2312" w:hAnsi="仿宋_GB2312" w:eastAsia="仿宋_GB2312" w:cs="仿宋_GB2312"/>
          <w:kern w:val="0"/>
          <w:sz w:val="32"/>
          <w:szCs w:val="40"/>
          <w:lang w:bidi="ar"/>
        </w:rPr>
      </w:pPr>
      <w:r>
        <w:rPr>
          <w:rFonts w:ascii="仿宋_GB2312" w:hAnsi="仿宋_GB2312" w:eastAsia="仿宋_GB2312" w:cs="仿宋_GB2312"/>
          <w:kern w:val="0"/>
          <w:sz w:val="32"/>
          <w:szCs w:val="40"/>
          <w:lang w:bidi="ar"/>
        </w:rPr>
        <w:t>同时，我们也清醒地认识到，</w:t>
      </w:r>
      <w:r>
        <w:rPr>
          <w:rFonts w:hint="eastAsia" w:ascii="仿宋_GB2312" w:hAnsi="仿宋_GB2312" w:eastAsia="仿宋_GB2312" w:cs="仿宋_GB2312"/>
          <w:kern w:val="0"/>
          <w:sz w:val="32"/>
          <w:szCs w:val="40"/>
          <w:lang w:bidi="ar"/>
        </w:rPr>
        <w:t>当前</w:t>
      </w:r>
      <w:r>
        <w:rPr>
          <w:rFonts w:ascii="仿宋_GB2312" w:hAnsi="仿宋_GB2312" w:eastAsia="仿宋_GB2312" w:cs="仿宋_GB2312"/>
          <w:kern w:val="0"/>
          <w:sz w:val="32"/>
          <w:szCs w:val="40"/>
          <w:lang w:bidi="ar"/>
        </w:rPr>
        <w:t>检察工作还存在一些问题和不足：</w:t>
      </w:r>
      <w:r>
        <w:rPr>
          <w:rFonts w:hint="eastAsia" w:ascii="仿宋_GB2312" w:hAnsi="仿宋_GB2312" w:eastAsia="仿宋_GB2312" w:cs="仿宋_GB2312"/>
          <w:kern w:val="0"/>
          <w:sz w:val="32"/>
          <w:szCs w:val="40"/>
          <w:lang w:bidi="ar"/>
        </w:rPr>
        <w:t>党建的引领保障作用仍需持续加强，围绕中心、服务大局的实效仍需持续增强，检察为民的创新实践仍需持续深化，检察能力和基础建设仍需持续发力。对此，我们将高度重视、认真研究，在今后工作采取有效措施，切实加以解决。</w:t>
      </w:r>
    </w:p>
    <w:p w14:paraId="65F04E9E">
      <w:pPr>
        <w:spacing w:before="156" w:beforeLines="50" w:after="156" w:afterLines="50" w:line="61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202</w:t>
      </w:r>
      <w:r>
        <w:rPr>
          <w:rFonts w:hint="eastAsia" w:ascii="Times New Roman" w:hAnsi="Times New Roman" w:eastAsia="黑体" w:cs="Times New Roman"/>
          <w:sz w:val="32"/>
          <w:szCs w:val="32"/>
        </w:rPr>
        <w:t>6</w:t>
      </w:r>
      <w:r>
        <w:rPr>
          <w:rFonts w:ascii="Times New Roman" w:hAnsi="Times New Roman" w:eastAsia="黑体" w:cs="Times New Roman"/>
          <w:sz w:val="32"/>
          <w:szCs w:val="32"/>
        </w:rPr>
        <w:t>年工作安排</w:t>
      </w:r>
    </w:p>
    <w:p w14:paraId="352518FB">
      <w:pPr>
        <w:spacing w:line="590" w:lineRule="exact"/>
        <w:ind w:firstLine="640" w:firstLineChars="200"/>
        <w:rPr>
          <w:rFonts w:ascii="Times New Roman" w:hAnsi="Times New Roman" w:eastAsia="仿宋_GB2312" w:cs="Times New Roman"/>
          <w:b/>
          <w:bCs/>
          <w:sz w:val="32"/>
          <w:szCs w:val="32"/>
        </w:rPr>
      </w:pPr>
      <w:r>
        <w:rPr>
          <w:rFonts w:hint="eastAsia" w:ascii="Times New Roman" w:hAnsi="Times New Roman" w:eastAsia="黑体" w:cs="Times New Roman"/>
          <w:sz w:val="32"/>
          <w:szCs w:val="32"/>
        </w:rPr>
        <w:t>2026</w:t>
      </w:r>
      <w:r>
        <w:rPr>
          <w:rFonts w:hint="eastAsia" w:ascii="仿宋_GB2312" w:hAnsi="仿宋_GB2312" w:eastAsia="仿宋_GB2312" w:cs="仿宋_GB2312"/>
          <w:kern w:val="0"/>
          <w:sz w:val="32"/>
          <w:szCs w:val="40"/>
          <w:lang w:bidi="ar"/>
        </w:rPr>
        <w:t>年是“十五五”规划开局之年，</w:t>
      </w:r>
      <w:r>
        <w:rPr>
          <w:rFonts w:ascii="仿宋_GB2312" w:hAnsi="仿宋_GB2312" w:eastAsia="仿宋_GB2312" w:cs="仿宋_GB2312"/>
          <w:kern w:val="0"/>
          <w:sz w:val="32"/>
          <w:szCs w:val="40"/>
          <w:lang w:bidi="ar"/>
        </w:rPr>
        <w:t>灵丘县人民检察院将在县委和上级检察机关坚强领导下，在县人大及其常委会的有力监督下，在县政府、县政协和社会各界的关心支持下，</w:t>
      </w:r>
      <w:r>
        <w:rPr>
          <w:rFonts w:ascii="仿宋_GB2312" w:hAnsi="仿宋_GB2312" w:eastAsia="仿宋_GB2312" w:cs="仿宋_GB2312"/>
          <w:b/>
          <w:bCs/>
          <w:kern w:val="0"/>
          <w:sz w:val="32"/>
          <w:szCs w:val="40"/>
          <w:lang w:bidi="ar"/>
        </w:rPr>
        <w:t>坚持以习近平新时代中国特色社会主义思想为指导，全面贯彻落实</w:t>
      </w:r>
      <w:r>
        <w:rPr>
          <w:rFonts w:hint="eastAsia" w:ascii="仿宋_GB2312" w:hAnsi="仿宋_GB2312" w:eastAsia="仿宋_GB2312" w:cs="仿宋_GB2312"/>
          <w:b/>
          <w:bCs/>
          <w:kern w:val="0"/>
          <w:sz w:val="32"/>
          <w:szCs w:val="40"/>
          <w:lang w:bidi="ar"/>
        </w:rPr>
        <w:t>党的二十大和</w:t>
      </w:r>
      <w:r>
        <w:rPr>
          <w:rFonts w:ascii="仿宋_GB2312" w:hAnsi="仿宋_GB2312" w:eastAsia="仿宋_GB2312" w:cs="仿宋_GB2312"/>
          <w:b/>
          <w:bCs/>
          <w:kern w:val="0"/>
          <w:sz w:val="32"/>
          <w:szCs w:val="40"/>
          <w:lang w:bidi="ar"/>
        </w:rPr>
        <w:t>党的二十届</w:t>
      </w:r>
      <w:r>
        <w:rPr>
          <w:rFonts w:hint="eastAsia" w:ascii="仿宋_GB2312" w:hAnsi="仿宋_GB2312" w:eastAsia="仿宋_GB2312" w:cs="仿宋_GB2312"/>
          <w:b/>
          <w:bCs/>
          <w:kern w:val="0"/>
          <w:sz w:val="32"/>
          <w:szCs w:val="40"/>
          <w:lang w:bidi="ar"/>
        </w:rPr>
        <w:t>历次</w:t>
      </w:r>
      <w:r>
        <w:rPr>
          <w:rFonts w:ascii="仿宋_GB2312" w:hAnsi="仿宋_GB2312" w:eastAsia="仿宋_GB2312" w:cs="仿宋_GB2312"/>
          <w:b/>
          <w:bCs/>
          <w:kern w:val="0"/>
          <w:sz w:val="32"/>
          <w:szCs w:val="40"/>
          <w:lang w:bidi="ar"/>
        </w:rPr>
        <w:t>全会精神，深入贯彻习近平总书记对检察工作、山西工作的重要讲话重要指示精神，认真落实</w:t>
      </w:r>
      <w:r>
        <w:rPr>
          <w:rFonts w:hint="eastAsia" w:ascii="仿宋_GB2312" w:hAnsi="仿宋_GB2312" w:eastAsia="仿宋_GB2312" w:cs="仿宋_GB2312"/>
          <w:b/>
          <w:bCs/>
          <w:kern w:val="0"/>
          <w:sz w:val="32"/>
          <w:szCs w:val="40"/>
          <w:lang w:bidi="ar"/>
        </w:rPr>
        <w:t>中央</w:t>
      </w:r>
      <w:r>
        <w:rPr>
          <w:rFonts w:hint="eastAsia" w:ascii="仿宋_GB2312" w:hAnsi="仿宋_GB2312" w:eastAsia="仿宋_GB2312" w:cs="仿宋_GB2312"/>
          <w:b/>
          <w:bCs/>
          <w:kern w:val="0"/>
          <w:sz w:val="32"/>
          <w:szCs w:val="40"/>
          <w:lang w:eastAsia="zh-CN" w:bidi="ar"/>
        </w:rPr>
        <w:t>、</w:t>
      </w:r>
      <w:r>
        <w:rPr>
          <w:rFonts w:hint="eastAsia" w:ascii="仿宋_GB2312" w:hAnsi="仿宋_GB2312" w:eastAsia="仿宋_GB2312" w:cs="仿宋_GB2312"/>
          <w:b/>
          <w:bCs/>
          <w:kern w:val="0"/>
          <w:sz w:val="32"/>
          <w:szCs w:val="40"/>
          <w:lang w:bidi="ar"/>
        </w:rPr>
        <w:t>省委、市委经济工作会议精神</w:t>
      </w:r>
      <w:r>
        <w:rPr>
          <w:rFonts w:ascii="仿宋_GB2312" w:hAnsi="仿宋_GB2312" w:eastAsia="仿宋_GB2312" w:cs="仿宋_GB2312"/>
          <w:b/>
          <w:bCs/>
          <w:kern w:val="0"/>
          <w:sz w:val="32"/>
          <w:szCs w:val="40"/>
          <w:lang w:bidi="ar"/>
        </w:rPr>
        <w:t>和本次会议决议，</w:t>
      </w:r>
      <w:r>
        <w:rPr>
          <w:rFonts w:hint="eastAsia" w:ascii="仿宋_GB2312" w:hAnsi="仿宋_GB2312" w:eastAsia="仿宋_GB2312" w:cs="仿宋_GB2312"/>
          <w:b/>
          <w:bCs/>
          <w:kern w:val="0"/>
          <w:sz w:val="32"/>
          <w:szCs w:val="40"/>
          <w:lang w:bidi="ar"/>
        </w:rPr>
        <w:t>坚持稳中求进工作总基调，完整准确全面贯彻新发展理念，主动服务和融入新发展格局，</w:t>
      </w:r>
      <w:r>
        <w:rPr>
          <w:rFonts w:ascii="仿宋_GB2312" w:hAnsi="仿宋_GB2312" w:eastAsia="仿宋_GB2312" w:cs="仿宋_GB2312"/>
          <w:b/>
          <w:bCs/>
          <w:kern w:val="0"/>
          <w:sz w:val="32"/>
          <w:szCs w:val="40"/>
          <w:lang w:bidi="ar"/>
        </w:rPr>
        <w:t>积极落实最高检《关于全面深化检察改革、进一步加强新时代检察工作的意见》，聚焦法律监督主责主业，高质效办好每一个案件，更加有力为大局服务、为人民司法、为法治担当，努力为</w:t>
      </w:r>
      <w:r>
        <w:rPr>
          <w:rFonts w:hint="eastAsia" w:ascii="仿宋_GB2312" w:hAnsi="仿宋_GB2312" w:eastAsia="仿宋_GB2312" w:cs="仿宋_GB2312"/>
          <w:b/>
          <w:bCs/>
          <w:kern w:val="0"/>
          <w:sz w:val="32"/>
          <w:szCs w:val="40"/>
          <w:lang w:bidi="ar"/>
        </w:rPr>
        <w:t>实现“十五五”良好开局</w:t>
      </w:r>
      <w:r>
        <w:rPr>
          <w:rFonts w:hint="eastAsia" w:ascii="仿宋_GB2312" w:hAnsi="仿宋_GB2312" w:eastAsia="仿宋_GB2312" w:cs="仿宋_GB2312"/>
          <w:b/>
          <w:bCs/>
          <w:kern w:val="0"/>
          <w:sz w:val="32"/>
          <w:szCs w:val="40"/>
          <w:lang w:eastAsia="zh-CN" w:bidi="ar"/>
        </w:rPr>
        <w:t>、</w:t>
      </w:r>
      <w:r>
        <w:rPr>
          <w:rFonts w:hint="eastAsia" w:ascii="仿宋_GB2312" w:hAnsi="仿宋_GB2312" w:eastAsia="仿宋_GB2312" w:cs="仿宋_GB2312"/>
          <w:b/>
          <w:bCs/>
          <w:kern w:val="0"/>
          <w:sz w:val="32"/>
          <w:szCs w:val="40"/>
          <w:lang w:val="en-US" w:eastAsia="zh-CN" w:bidi="ar"/>
        </w:rPr>
        <w:t>为</w:t>
      </w:r>
      <w:r>
        <w:rPr>
          <w:rFonts w:hint="eastAsia" w:ascii="仿宋_GB2312" w:hAnsi="仿宋_GB2312" w:eastAsia="仿宋_GB2312" w:cs="仿宋_GB2312"/>
          <w:b/>
          <w:bCs/>
          <w:kern w:val="0"/>
          <w:sz w:val="32"/>
          <w:szCs w:val="40"/>
          <w:lang w:bidi="ar"/>
        </w:rPr>
        <w:t>谱写</w:t>
      </w:r>
      <w:r>
        <w:rPr>
          <w:rFonts w:ascii="仿宋_GB2312" w:hAnsi="仿宋_GB2312" w:eastAsia="仿宋_GB2312" w:cs="仿宋_GB2312"/>
          <w:b/>
          <w:bCs/>
          <w:kern w:val="0"/>
          <w:sz w:val="32"/>
          <w:szCs w:val="40"/>
          <w:lang w:bidi="ar"/>
        </w:rPr>
        <w:t>中国式现代化灵丘</w:t>
      </w:r>
      <w:r>
        <w:rPr>
          <w:rFonts w:hint="eastAsia" w:ascii="仿宋_GB2312" w:hAnsi="仿宋_GB2312" w:eastAsia="仿宋_GB2312" w:cs="仿宋_GB2312"/>
          <w:b/>
          <w:bCs/>
          <w:kern w:val="0"/>
          <w:sz w:val="32"/>
          <w:szCs w:val="40"/>
          <w:lang w:bidi="ar"/>
        </w:rPr>
        <w:t>篇章</w:t>
      </w:r>
      <w:r>
        <w:rPr>
          <w:rFonts w:ascii="仿宋_GB2312" w:hAnsi="仿宋_GB2312" w:eastAsia="仿宋_GB2312" w:cs="仿宋_GB2312"/>
          <w:b/>
          <w:bCs/>
          <w:kern w:val="0"/>
          <w:sz w:val="32"/>
          <w:szCs w:val="40"/>
          <w:lang w:bidi="ar"/>
        </w:rPr>
        <w:t>提供有力司法保障。</w:t>
      </w:r>
    </w:p>
    <w:p w14:paraId="786BE1BD">
      <w:pPr>
        <w:spacing w:line="630" w:lineRule="exact"/>
        <w:ind w:firstLine="640" w:firstLineChars="200"/>
        <w:rPr>
          <w:rFonts w:ascii="仿宋_GB2312" w:hAnsi="仿宋_GB2312" w:eastAsia="仿宋_GB2312" w:cs="仿宋_GB2312"/>
          <w:kern w:val="0"/>
          <w:sz w:val="32"/>
          <w:szCs w:val="40"/>
          <w:lang w:bidi="ar"/>
        </w:rPr>
      </w:pPr>
      <w:r>
        <w:rPr>
          <w:rStyle w:val="11"/>
          <w:rFonts w:hint="eastAsia" w:ascii="楷体_GB2312" w:hAnsi="楷体_GB2312" w:eastAsia="楷体_GB2312" w:cs="楷体_GB2312"/>
          <w:color w:val="000000" w:themeColor="text1"/>
          <w:kern w:val="0"/>
          <w:sz w:val="32"/>
          <w:szCs w:val="32"/>
          <w14:textFill>
            <w14:solidFill>
              <w14:schemeClr w14:val="tx1"/>
            </w14:solidFill>
          </w14:textFill>
        </w:rPr>
        <w:t>一是深化政治建设，以更高站位服务全县发展大局。</w:t>
      </w:r>
      <w:r>
        <w:rPr>
          <w:rFonts w:hint="eastAsia" w:ascii="仿宋_GB2312" w:hAnsi="仿宋_GB2312" w:eastAsia="仿宋_GB2312" w:cs="仿宋_GB2312"/>
          <w:kern w:val="0"/>
          <w:sz w:val="32"/>
          <w:szCs w:val="40"/>
          <w:lang w:bidi="ar"/>
        </w:rPr>
        <w:t>始终坚持党对检察工作的绝对领导，坚持在全县工作大局中谋划和推进检察工作。健全完善检察服务措施，积极保障全县经济社会高质量发展。着力营造安商惠企法治环境，精准护航民营经济健康发展。严厉打击严重刑事犯罪，深入推进“扫黑除恶”常治长效。深度参与县域社会治理现代化，助力平安灵丘、法治灵丘建设。</w:t>
      </w:r>
      <w:r>
        <w:rPr>
          <w:rFonts w:hint="eastAsia" w:ascii="仿宋_GB2312" w:hAnsi="仿宋_GB2312" w:eastAsia="仿宋_GB2312" w:cs="仿宋_GB2312"/>
          <w:kern w:val="0"/>
          <w:sz w:val="32"/>
          <w:szCs w:val="40"/>
          <w:lang w:bidi="ar"/>
        </w:rPr>
        <w:br w:type="textWrapping"/>
      </w:r>
      <w:r>
        <w:rPr>
          <w:rFonts w:hint="eastAsia" w:ascii="仿宋" w:hAnsi="仿宋" w:eastAsia="仿宋" w:cs="仿宋"/>
          <w:sz w:val="32"/>
          <w:szCs w:val="32"/>
        </w:rPr>
        <w:t xml:space="preserve">   </w:t>
      </w:r>
      <w:r>
        <w:rPr>
          <w:rStyle w:val="11"/>
          <w:rFonts w:hint="eastAsia" w:ascii="楷体_GB2312" w:hAnsi="楷体_GB2312" w:eastAsia="楷体_GB2312" w:cs="楷体_GB2312"/>
          <w:color w:val="000000" w:themeColor="text1"/>
          <w:kern w:val="0"/>
          <w:sz w:val="32"/>
          <w:szCs w:val="32"/>
          <w14:textFill>
            <w14:solidFill>
              <w14:schemeClr w14:val="tx1"/>
            </w14:solidFill>
          </w14:textFill>
        </w:rPr>
        <w:t xml:space="preserve"> 二是依法精准监督，以更实举措提升法律监督质效。</w:t>
      </w:r>
      <w:r>
        <w:rPr>
          <w:rFonts w:hint="eastAsia" w:ascii="仿宋_GB2312" w:hAnsi="仿宋_GB2312" w:eastAsia="仿宋_GB2312" w:cs="仿宋_GB2312"/>
          <w:kern w:val="0"/>
          <w:sz w:val="32"/>
          <w:szCs w:val="40"/>
          <w:lang w:bidi="ar"/>
        </w:rPr>
        <w:t>坚持法律监督主责主业，一体抓实党建与业务深度融合，充分发挥检察一体融合履职优势，完善“四大检察”法律监督格局，坚持做到敢于监督、善于监督、勇于自我监督，不断实现监督办案质量、效率、效果有机统一，更好担负起宪法和法律赋予检察机关的职责使命。</w:t>
      </w:r>
      <w:r>
        <w:rPr>
          <w:rFonts w:hint="eastAsia" w:ascii="仿宋_GB2312" w:hAnsi="仿宋_GB2312" w:eastAsia="仿宋_GB2312" w:cs="仿宋_GB2312"/>
          <w:kern w:val="0"/>
          <w:sz w:val="32"/>
          <w:szCs w:val="40"/>
          <w:lang w:bidi="ar"/>
        </w:rPr>
        <w:br w:type="textWrapping"/>
      </w:r>
      <w:r>
        <w:rPr>
          <w:rFonts w:hint="eastAsia" w:ascii="仿宋" w:hAnsi="仿宋" w:eastAsia="仿宋" w:cs="仿宋"/>
          <w:sz w:val="32"/>
          <w:szCs w:val="32"/>
        </w:rPr>
        <w:t xml:space="preserve">   </w:t>
      </w:r>
      <w:r>
        <w:rPr>
          <w:rStyle w:val="11"/>
          <w:rFonts w:hint="eastAsia" w:ascii="楷体_GB2312" w:hAnsi="楷体_GB2312" w:eastAsia="楷体_GB2312" w:cs="楷体_GB2312"/>
          <w:color w:val="000000" w:themeColor="text1"/>
          <w:kern w:val="0"/>
          <w:sz w:val="32"/>
          <w:szCs w:val="32"/>
          <w14:textFill>
            <w14:solidFill>
              <w14:schemeClr w14:val="tx1"/>
            </w14:solidFill>
          </w14:textFill>
        </w:rPr>
        <w:t xml:space="preserve"> 三是认真履职尽责，以更强担当持续做实检察为民。</w:t>
      </w:r>
      <w:r>
        <w:rPr>
          <w:rFonts w:hint="eastAsia" w:ascii="仿宋_GB2312" w:hAnsi="仿宋_GB2312" w:eastAsia="仿宋_GB2312" w:cs="仿宋_GB2312"/>
          <w:kern w:val="0"/>
          <w:sz w:val="32"/>
          <w:szCs w:val="40"/>
          <w:lang w:bidi="ar"/>
        </w:rPr>
        <w:t>不断深化检察监督办案举措，着力办好公开听证、支持起诉、司法救助等检察为民实事。充分发挥公益诉讼检察职能，全力守护宜居宜业生态环境安全。健全未成年人综合司法保护，倾情护佑未成年人健康成长。强化对特殊群体优先保护，持续传递司法温度。加大普法宣传力度，以案释法讲好法治故事，增强群众法治观念。</w:t>
      </w:r>
      <w:r>
        <w:rPr>
          <w:rFonts w:hint="eastAsia" w:ascii="仿宋_GB2312" w:hAnsi="仿宋_GB2312" w:eastAsia="仿宋_GB2312" w:cs="仿宋_GB2312"/>
          <w:kern w:val="0"/>
          <w:sz w:val="32"/>
          <w:szCs w:val="40"/>
          <w:lang w:bidi="ar"/>
        </w:rPr>
        <w:br w:type="textWrapping"/>
      </w:r>
      <w:r>
        <w:rPr>
          <w:rFonts w:hint="eastAsia" w:ascii="仿宋" w:hAnsi="仿宋" w:eastAsia="仿宋" w:cs="仿宋"/>
          <w:sz w:val="32"/>
          <w:szCs w:val="32"/>
        </w:rPr>
        <w:t xml:space="preserve">   </w:t>
      </w:r>
      <w:r>
        <w:rPr>
          <w:rStyle w:val="11"/>
          <w:rFonts w:hint="eastAsia" w:ascii="楷体_GB2312" w:hAnsi="楷体_GB2312" w:eastAsia="楷体_GB2312" w:cs="楷体_GB2312"/>
          <w:color w:val="000000" w:themeColor="text1"/>
          <w:kern w:val="0"/>
          <w:sz w:val="32"/>
          <w:szCs w:val="32"/>
          <w14:textFill>
            <w14:solidFill>
              <w14:schemeClr w14:val="tx1"/>
            </w14:solidFill>
          </w14:textFill>
        </w:rPr>
        <w:t xml:space="preserve"> 四是全面从严治检，以更严标准筑牢人才强检根基。</w:t>
      </w:r>
      <w:r>
        <w:rPr>
          <w:rFonts w:hint="eastAsia" w:ascii="仿宋_GB2312" w:hAnsi="仿宋_GB2312" w:eastAsia="仿宋_GB2312" w:cs="仿宋_GB2312"/>
          <w:kern w:val="0"/>
          <w:sz w:val="32"/>
          <w:szCs w:val="40"/>
          <w:lang w:bidi="ar"/>
        </w:rPr>
        <w:t>巩固拓展中央八项规定精神学习教育成果，深化干警思想淬炼、政治历练、实践锻炼、专业训练，坚持不懈用党的创新理论指导检察实践，持续推动政治素养与专业能力互促共进。全面准确落实司法责任制，不断提高履职办案制度化、规范化水平。强化纪律作风建设，确保检察权依法公正高效廉洁运行，努力打造让党放心、让人民满意的新时代检察铁军。</w:t>
      </w:r>
    </w:p>
    <w:p w14:paraId="6CF5FEC8">
      <w:pPr>
        <w:spacing w:line="620" w:lineRule="exact"/>
        <w:ind w:firstLine="640" w:firstLineChars="200"/>
        <w:rPr>
          <w:rFonts w:ascii="仿宋_GB2312" w:hAnsi="仿宋_GB2312" w:eastAsia="仿宋_GB2312" w:cs="仿宋_GB2312"/>
          <w:kern w:val="0"/>
          <w:sz w:val="32"/>
          <w:szCs w:val="40"/>
          <w:lang w:bidi="ar"/>
        </w:rPr>
      </w:pPr>
      <w:r>
        <w:rPr>
          <w:rFonts w:hint="eastAsia" w:ascii="仿宋_GB2312" w:hAnsi="仿宋_GB2312" w:eastAsia="仿宋_GB2312" w:cs="仿宋_GB2312"/>
          <w:kern w:val="0"/>
          <w:sz w:val="32"/>
          <w:szCs w:val="40"/>
          <w:lang w:bidi="ar"/>
        </w:rPr>
        <w:t>大道至简，实干为要。各位代表，新的一年，我们决心在县委、上级检察机关的领导下，</w:t>
      </w:r>
      <w:r>
        <w:rPr>
          <w:rFonts w:ascii="仿宋_GB2312" w:hAnsi="仿宋_GB2312" w:eastAsia="仿宋_GB2312" w:cs="仿宋_GB2312"/>
          <w:kern w:val="0"/>
          <w:sz w:val="32"/>
          <w:szCs w:val="40"/>
          <w:lang w:bidi="ar"/>
        </w:rPr>
        <w:t>在县政府、县政协和社会各界的关心支持下，</w:t>
      </w:r>
      <w:r>
        <w:rPr>
          <w:rFonts w:hint="eastAsia" w:ascii="仿宋_GB2312" w:hAnsi="仿宋_GB2312" w:eastAsia="仿宋_GB2312" w:cs="仿宋_GB2312"/>
          <w:kern w:val="0"/>
          <w:sz w:val="32"/>
          <w:szCs w:val="40"/>
          <w:lang w:bidi="ar"/>
        </w:rPr>
        <w:t>认真落实本次大会决议，更加自觉主动接受人大和社会各界监督，在融入大局、服务大局中履职尽责，以实干作答、用实绩交卷，为全力推动灵丘经济社会高质量快速度可持续发展作出新的更大贡献！</w:t>
      </w:r>
    </w:p>
    <w:p w14:paraId="3C8E26A4">
      <w:pPr>
        <w:spacing w:line="610" w:lineRule="exact"/>
        <w:ind w:firstLine="640" w:firstLineChars="200"/>
        <w:rPr>
          <w:rFonts w:ascii="仿宋_GB2312" w:hAnsi="仿宋_GB2312" w:eastAsia="仿宋_GB2312" w:cs="仿宋_GB2312"/>
          <w:kern w:val="0"/>
          <w:sz w:val="32"/>
          <w:szCs w:val="40"/>
          <w:lang w:bidi="ar"/>
        </w:rPr>
      </w:pPr>
    </w:p>
    <w:p w14:paraId="158985E3">
      <w:pPr>
        <w:spacing w:line="610" w:lineRule="exact"/>
        <w:rPr>
          <w:rFonts w:ascii="黑体" w:hAnsi="黑体" w:eastAsia="黑体" w:cs="黑体"/>
          <w:sz w:val="32"/>
          <w:szCs w:val="32"/>
        </w:rPr>
      </w:pPr>
      <w:r>
        <w:rPr>
          <w:rFonts w:hint="eastAsia" w:ascii="黑体" w:hAnsi="黑体" w:eastAsia="黑体" w:cs="黑体"/>
          <w:sz w:val="32"/>
          <w:szCs w:val="32"/>
        </w:rPr>
        <w:t>附件：</w:t>
      </w:r>
    </w:p>
    <w:p w14:paraId="22F23DF2">
      <w:pPr>
        <w:spacing w:before="156" w:beforeLines="50" w:line="6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名词解释</w:t>
      </w:r>
    </w:p>
    <w:p w14:paraId="4EF712A7">
      <w:pPr>
        <w:pStyle w:val="2"/>
        <w:spacing w:after="0"/>
      </w:pPr>
    </w:p>
    <w:p w14:paraId="183E8B16">
      <w:pPr>
        <w:spacing w:line="620" w:lineRule="exact"/>
        <w:ind w:firstLine="643" w:firstLineChars="200"/>
        <w:rPr>
          <w:rFonts w:ascii="仿宋_GB2312" w:hAnsi="仿宋_GB2312" w:eastAsia="仿宋_GB2312" w:cs="仿宋_GB2312"/>
          <w:sz w:val="32"/>
          <w:szCs w:val="32"/>
        </w:rPr>
      </w:pPr>
      <w:r>
        <w:rPr>
          <w:rFonts w:hint="eastAsia" w:ascii="Times New Roman" w:hAnsi="Times New Roman" w:eastAsia="仿宋" w:cs="Times New Roman"/>
          <w:b/>
          <w:bCs/>
          <w:sz w:val="32"/>
          <w:szCs w:val="32"/>
        </w:rPr>
        <w:t>1.</w:t>
      </w:r>
      <w:r>
        <w:rPr>
          <w:rFonts w:hint="eastAsia" w:ascii="Times New Roman" w:hAnsi="Times New Roman" w:eastAsia="仿宋" w:cs="Times New Roman"/>
          <w:b/>
          <w:bCs/>
          <w:sz w:val="32"/>
          <w:szCs w:val="32"/>
          <w:lang w:val="en-US" w:eastAsia="zh-CN"/>
        </w:rPr>
        <w:t xml:space="preserve"> </w:t>
      </w:r>
      <w:r>
        <w:rPr>
          <w:rFonts w:hint="eastAsia" w:ascii="仿宋" w:hAnsi="仿宋" w:eastAsia="仿宋" w:cs="仿宋"/>
          <w:b/>
          <w:bCs/>
          <w:sz w:val="32"/>
          <w:szCs w:val="32"/>
        </w:rPr>
        <w:t>违规异地执法和趋利性执法司法专项监督：</w:t>
      </w:r>
      <w:r>
        <w:rPr>
          <w:rFonts w:hint="eastAsia" w:ascii="仿宋" w:hAnsi="仿宋" w:eastAsia="仿宋" w:cs="仿宋"/>
          <w:sz w:val="32"/>
          <w:szCs w:val="32"/>
        </w:rPr>
        <w:t>2025年3月，最高人民检察院为深入贯彻落实党的二十大和二十届二中、三中全会精神，全面落实中央经济工作会议精神，依法平等保护各类经营主体合法权益，聚焦整治企业反映强烈的违规异地执法和趋利性执法司法等突出问题而开展的一项行动。</w:t>
      </w:r>
    </w:p>
    <w:p w14:paraId="1358C7E8">
      <w:pPr>
        <w:spacing w:line="620" w:lineRule="exact"/>
        <w:ind w:firstLine="643" w:firstLineChars="200"/>
        <w:rPr>
          <w:rFonts w:ascii="仿宋" w:hAnsi="仿宋" w:eastAsia="仿宋" w:cs="仿宋"/>
          <w:sz w:val="32"/>
          <w:szCs w:val="32"/>
        </w:rPr>
      </w:pPr>
      <w:r>
        <w:rPr>
          <w:rFonts w:hint="eastAsia" w:ascii="Times New Roman" w:hAnsi="Times New Roman" w:eastAsia="仿宋" w:cs="Times New Roman"/>
          <w:b/>
          <w:bCs/>
          <w:sz w:val="32"/>
          <w:szCs w:val="32"/>
        </w:rPr>
        <w:t xml:space="preserve">2. </w:t>
      </w:r>
      <w:r>
        <w:rPr>
          <w:rFonts w:hint="eastAsia" w:ascii="仿宋" w:hAnsi="仿宋" w:eastAsia="仿宋" w:cs="仿宋"/>
          <w:b/>
          <w:bCs/>
          <w:sz w:val="32"/>
          <w:szCs w:val="32"/>
        </w:rPr>
        <w:t>行刑反向衔接案件：</w:t>
      </w:r>
      <w:r>
        <w:rPr>
          <w:rFonts w:hint="eastAsia" w:ascii="仿宋" w:hAnsi="仿宋" w:eastAsia="仿宋" w:cs="仿宋"/>
          <w:sz w:val="32"/>
          <w:szCs w:val="32"/>
        </w:rPr>
        <w:t>指在刑事司法程序中，检察机关对犯罪嫌疑人作出不起诉决定后，认为其行为仍需给予行政处罚，将案件移送至行政执法机关进行处理的案件类型。这类案件旨在实现刑事责任与行政责任的无缝衔接，避免“不刑不罚”的情况发生，确保违法行为得到应有的法律制裁。</w:t>
      </w:r>
    </w:p>
    <w:p w14:paraId="3094F980">
      <w:pPr>
        <w:pStyle w:val="2"/>
        <w:spacing w:after="0" w:line="620" w:lineRule="exact"/>
        <w:ind w:firstLine="643" w:firstLineChars="200"/>
        <w:rPr>
          <w:rFonts w:ascii="仿宋" w:hAnsi="仿宋" w:eastAsia="仿宋" w:cs="仿宋"/>
          <w:sz w:val="32"/>
          <w:szCs w:val="32"/>
        </w:rPr>
      </w:pPr>
      <w:r>
        <w:rPr>
          <w:rFonts w:hint="eastAsia" w:ascii="Times New Roman" w:hAnsi="Times New Roman" w:eastAsia="仿宋" w:cs="Times New Roman"/>
          <w:b/>
          <w:bCs/>
          <w:kern w:val="2"/>
          <w:sz w:val="32"/>
          <w:szCs w:val="32"/>
          <w:lang w:val="en-US" w:eastAsia="zh-CN" w:bidi="ar-SA"/>
        </w:rPr>
        <w:t>3. 涉民事终结本次执行程序监督活动：</w:t>
      </w:r>
      <w:r>
        <w:rPr>
          <w:rFonts w:hint="eastAsia" w:ascii="仿宋" w:hAnsi="仿宋" w:eastAsia="仿宋" w:cs="仿宋"/>
          <w:sz w:val="32"/>
          <w:szCs w:val="32"/>
        </w:rPr>
        <w:t>2025年4月15日，最高人民检察院印发通知，在全国部署开展涉民事终本执行监督活动。此次活动旨在加快推动执行案件信息共享机制建设，加强对涉民事终结本次执行程序中违法查封、扣押、冻结、拍卖、变卖、分配执行款物等执行活动以及消极执行的监督，推动法院依法纠正严重损害当事人、利害关系人民事权益的违法执行活动，切实监督推动法院解决执行难、执行乱问题。</w:t>
      </w:r>
    </w:p>
    <w:p w14:paraId="702EC738">
      <w:pPr>
        <w:spacing w:line="620" w:lineRule="exact"/>
        <w:ind w:firstLine="643" w:firstLineChars="200"/>
        <w:rPr>
          <w:rFonts w:ascii="仿宋" w:hAnsi="仿宋" w:eastAsia="仿宋" w:cs="仿宋"/>
          <w:b/>
          <w:bCs/>
          <w:sz w:val="32"/>
          <w:szCs w:val="32"/>
        </w:rPr>
      </w:pPr>
      <w:r>
        <w:rPr>
          <w:rFonts w:hint="eastAsia" w:ascii="Times New Roman" w:hAnsi="Times New Roman" w:eastAsia="仿宋" w:cs="Times New Roman"/>
          <w:b/>
          <w:bCs/>
          <w:sz w:val="32"/>
          <w:szCs w:val="32"/>
          <w:lang w:val="en-US" w:eastAsia="zh-CN"/>
        </w:rPr>
        <w:t>4</w:t>
      </w:r>
      <w:r>
        <w:rPr>
          <w:rFonts w:hint="eastAsia" w:ascii="Times New Roman" w:hAnsi="Times New Roman" w:eastAsia="仿宋" w:cs="Times New Roman"/>
          <w:b/>
          <w:bCs/>
          <w:sz w:val="32"/>
          <w:szCs w:val="32"/>
        </w:rPr>
        <w:t>.</w:t>
      </w:r>
      <w:r>
        <w:rPr>
          <w:rFonts w:hint="eastAsia" w:ascii="Times New Roman" w:hAnsi="Times New Roman" w:eastAsia="仿宋" w:cs="Times New Roman"/>
          <w:b/>
          <w:bCs/>
          <w:sz w:val="32"/>
          <w:szCs w:val="32"/>
          <w:lang w:val="en-US" w:eastAsia="zh-CN"/>
        </w:rPr>
        <w:t xml:space="preserve"> </w:t>
      </w:r>
      <w:r>
        <w:rPr>
          <w:rFonts w:hint="eastAsia" w:ascii="仿宋" w:hAnsi="仿宋" w:eastAsia="仿宋" w:cs="仿宋"/>
          <w:b/>
          <w:bCs/>
          <w:sz w:val="32"/>
          <w:szCs w:val="32"/>
        </w:rPr>
        <w:t>数字</w:t>
      </w:r>
      <w:r>
        <w:rPr>
          <w:rFonts w:hint="eastAsia" w:ascii="仿宋" w:hAnsi="仿宋" w:eastAsia="仿宋" w:cs="仿宋"/>
          <w:b/>
          <w:bCs/>
          <w:sz w:val="32"/>
          <w:szCs w:val="32"/>
          <w:lang w:val="en-US" w:eastAsia="zh-CN"/>
        </w:rPr>
        <w:t>检察</w:t>
      </w:r>
      <w:r>
        <w:rPr>
          <w:rFonts w:hint="eastAsia" w:ascii="仿宋" w:hAnsi="仿宋" w:eastAsia="仿宋" w:cs="仿宋"/>
          <w:b/>
          <w:bCs/>
          <w:sz w:val="32"/>
          <w:szCs w:val="32"/>
        </w:rPr>
        <w:t>：</w:t>
      </w:r>
      <w:r>
        <w:rPr>
          <w:rFonts w:hint="eastAsia" w:ascii="仿宋" w:hAnsi="仿宋" w:eastAsia="仿宋" w:cs="仿宋"/>
          <w:sz w:val="32"/>
          <w:szCs w:val="32"/>
        </w:rPr>
        <w:t>检察机关运用大数据、人工智能、区块链等现代信息技术，通过数据整合、模型构建、智能分析等方式，对检察业务进行全面、系统、深入的数字化改造和创新，以提升法律监督质效、促进社会治理现代化的系统性工程。其核心在于将数字技术与检察职能深度融合，实现从传统人工办案向数据驱动办案转变，从个案监督向类案监督、系统治理延伸，从而更好地履行法律监督职责，维护司法公正和社会公共利益。</w:t>
      </w:r>
    </w:p>
    <w:p w14:paraId="4B27634D">
      <w:pPr>
        <w:pStyle w:val="2"/>
        <w:spacing w:after="0" w:line="620" w:lineRule="exact"/>
        <w:ind w:firstLine="643" w:firstLineChars="200"/>
        <w:rPr>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“六大保护”：</w:t>
      </w:r>
      <w:r>
        <w:rPr>
          <w:rFonts w:hint="eastAsia" w:ascii="仿宋" w:hAnsi="仿宋" w:eastAsia="仿宋" w:cs="仿宋"/>
          <w:sz w:val="32"/>
          <w:szCs w:val="32"/>
        </w:rPr>
        <w:t>未成年人检察“六大保护”是检察机关在未成年人保护工作中综合运用法律监督职能，推动家庭、学校、社会、网络、政府、司法等六个方面的保护协同发力，形成全方位保护未成年人权益的体系。</w:t>
      </w:r>
    </w:p>
    <w:p w14:paraId="44DB1E9E">
      <w:pPr>
        <w:ind w:left="420" w:leftChars="200"/>
        <w:rPr>
          <w:rFonts w:hint="eastAsia"/>
        </w:rPr>
      </w:pPr>
    </w:p>
    <w:p w14:paraId="6AC81C37">
      <w:pPr>
        <w:pStyle w:val="2"/>
        <w:rPr>
          <w:rFonts w:hint="eastAsia"/>
        </w:rPr>
      </w:pPr>
    </w:p>
    <w:p w14:paraId="25E176E6">
      <w:pPr>
        <w:rPr>
          <w:rFonts w:hint="eastAsia"/>
        </w:rPr>
      </w:pPr>
    </w:p>
    <w:p w14:paraId="728CF626">
      <w:pPr>
        <w:pStyle w:val="2"/>
        <w:rPr>
          <w:rFonts w:hint="eastAsia"/>
        </w:rPr>
      </w:pPr>
    </w:p>
    <w:p w14:paraId="6835C64D">
      <w:pPr>
        <w:rPr>
          <w:rFonts w:hint="eastAsia"/>
        </w:rPr>
      </w:pPr>
    </w:p>
    <w:p w14:paraId="1A42CC1F">
      <w:pPr>
        <w:pStyle w:val="2"/>
        <w:rPr>
          <w:rFonts w:hint="eastAsia"/>
        </w:rPr>
      </w:pPr>
    </w:p>
    <w:p w14:paraId="0238C197">
      <w:pPr>
        <w:pStyle w:val="2"/>
        <w:snapToGrid w:val="0"/>
        <w:ind w:left="420"/>
        <w:rPr>
          <w:sz w:val="40"/>
          <w:szCs w:val="40"/>
        </w:rPr>
      </w:pPr>
    </w:p>
    <w:p w14:paraId="39423C27">
      <w:pPr>
        <w:pStyle w:val="2"/>
        <w:snapToGrid w:val="0"/>
        <w:ind w:left="420"/>
        <w:rPr>
          <w:rFonts w:hint="eastAsia"/>
          <w:sz w:val="40"/>
          <w:szCs w:val="40"/>
        </w:rPr>
      </w:pPr>
    </w:p>
    <w:p w14:paraId="0E2CD723">
      <w:pPr>
        <w:pStyle w:val="2"/>
        <w:snapToGrid w:val="0"/>
        <w:ind w:left="420"/>
        <w:rPr>
          <w:sz w:val="40"/>
          <w:szCs w:val="40"/>
        </w:rPr>
      </w:pPr>
    </w:p>
    <w:p w14:paraId="6FC257E4">
      <w:pPr>
        <w:rPr>
          <w:sz w:val="40"/>
          <w:szCs w:val="40"/>
        </w:rPr>
      </w:pPr>
    </w:p>
    <w:p w14:paraId="144BDCFB">
      <w:pPr>
        <w:pStyle w:val="2"/>
      </w:pPr>
    </w:p>
    <w:p w14:paraId="33B82762">
      <w:pPr>
        <w:pStyle w:val="2"/>
        <w:snapToGrid w:val="0"/>
        <w:spacing w:after="0"/>
        <w:ind w:left="420"/>
        <w:rPr>
          <w:sz w:val="20"/>
          <w:szCs w:val="40"/>
        </w:rPr>
      </w:pPr>
    </w:p>
    <w:p w14:paraId="661805F3">
      <w:pPr>
        <w:pStyle w:val="3"/>
        <w:spacing w:line="560" w:lineRule="exact"/>
        <w:ind w:firstLine="0" w:firstLineChars="0"/>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255895" cy="635"/>
                <wp:effectExtent l="0" t="0" r="20955" b="3746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25589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2.8pt;height:0.05pt;width:413.85pt;z-index:251659264;mso-width-relative:page;mso-height-relative:page;" filled="f" stroked="t" coordsize="21600,21600" o:gfxdata="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z0ZNp&#10;1AAAAAQBAAAPAAAAAAAAAAEAIAAAACIAAABkcnMvZG93bnJldi54bWxQSwECFAAUAAAACACHTuJA&#10;S/85tewBAAC7AwAADgAAAAAAAAABACAAAAAjAQAAZHJzL2Uyb0RvYy54bWxQSwUGAAAAAAYABgBZ&#10;AQAAgQUAAAAA&#10;">
                <v:fill on="f" focussize="0,0"/>
                <v:stroke weight="1pt" color="#000000" joinstyle="round"/>
                <v:imagedata o:title=""/>
                <o:lock v:ext="edit" aspectratio="f"/>
              </v:line>
            </w:pict>
          </mc:Fallback>
        </mc:AlternateContent>
      </w:r>
      <w:r>
        <w:t>县十七届人大</w:t>
      </w:r>
      <w:r>
        <w:rPr>
          <w:rFonts w:hint="eastAsia"/>
        </w:rPr>
        <w:t>七</w:t>
      </w:r>
      <w:r>
        <w:t xml:space="preserve">次会议秘书处     </w:t>
      </w:r>
      <w:r>
        <w:rPr>
          <w:rFonts w:hint="eastAsia"/>
        </w:rPr>
        <w:t xml:space="preserve">    </w:t>
      </w:r>
      <w:r>
        <w:t xml:space="preserve">   202</w:t>
      </w:r>
      <w:r>
        <w:rPr>
          <w:rFonts w:hint="eastAsia"/>
        </w:rPr>
        <w:t>5</w:t>
      </w:r>
      <w:r>
        <w:t>年</w:t>
      </w:r>
      <w:r>
        <w:rPr>
          <w:rFonts w:hint="eastAsia"/>
        </w:rPr>
        <w:t>12</w:t>
      </w:r>
      <w:r>
        <w:t>月印</w:t>
      </w:r>
      <w: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392430</wp:posOffset>
                </wp:positionV>
                <wp:extent cx="5255895" cy="635"/>
                <wp:effectExtent l="0" t="0" r="20955" b="3746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25589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30.9pt;height:0.05pt;width:413.85pt;z-index:251660288;mso-width-relative:page;mso-height-relative:page;" filled="f" stroked="t" coordsize="21600,21600" o:allowincell="f" o:gfxdata="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3j+&#10;s9UAAAAGAQAADwAAAAAAAAABACAAAAAiAAAAZHJzL2Rvd25yZXYueG1sUEsBAhQAFAAAAAgAh07i&#10;QOGex0LsAQAAuwMAAA4AAAAAAAAAAQAgAAAAJA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1587" w:right="1814" w:bottom="1587" w:left="1814" w:header="851" w:footer="1134"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1480566"/>
      <w:docPartObj>
        <w:docPartGallery w:val="autotext"/>
      </w:docPartObj>
    </w:sdtPr>
    <w:sdtEndPr>
      <w:rPr>
        <w:rFonts w:asciiTheme="minorEastAsia" w:hAnsiTheme="minorEastAsia"/>
        <w:sz w:val="24"/>
      </w:rPr>
    </w:sdtEndPr>
    <w:sdtContent>
      <w:sdt>
        <w:sdtPr>
          <w:id w:val="1761643240"/>
          <w:docPartObj>
            <w:docPartGallery w:val="autotext"/>
          </w:docPartObj>
        </w:sdtPr>
        <w:sdtEndPr>
          <w:rPr>
            <w:sz w:val="24"/>
          </w:rPr>
        </w:sdtEndPr>
        <w:sdtContent>
          <w:p w14:paraId="0F912569">
            <w:pPr>
              <w:pStyle w:val="4"/>
              <w:ind w:right="210" w:rightChars="100"/>
              <w:jc w:val="right"/>
              <w:rPr>
                <w:sz w:val="24"/>
              </w:rPr>
            </w:pPr>
            <w:r>
              <w:rPr>
                <w:rFonts w:hint="eastAsia"/>
                <w:sz w:val="24"/>
              </w:rPr>
              <w:t xml:space="preserve">— </w:t>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PAGE   \* MERGEFORMAT</w:instrText>
            </w:r>
            <w:r>
              <w:rPr>
                <w:rFonts w:asciiTheme="majorEastAsia" w:hAnsiTheme="majorEastAsia" w:eastAsiaTheme="majorEastAsia"/>
                <w:sz w:val="24"/>
              </w:rPr>
              <w:fldChar w:fldCharType="separate"/>
            </w:r>
            <w:r>
              <w:rPr>
                <w:rFonts w:asciiTheme="majorEastAsia" w:hAnsiTheme="majorEastAsia" w:eastAsiaTheme="majorEastAsia"/>
                <w:sz w:val="24"/>
                <w:lang w:val="zh-CN"/>
              </w:rPr>
              <w:t>1</w:t>
            </w:r>
            <w:r>
              <w:rPr>
                <w:rFonts w:asciiTheme="majorEastAsia" w:hAnsiTheme="majorEastAsia" w:eastAsiaTheme="majorEastAsia"/>
                <w:sz w:val="24"/>
              </w:rPr>
              <w:fldChar w:fldCharType="end"/>
            </w:r>
            <w:r>
              <w:rPr>
                <w:rFonts w:hint="eastAsia" w:asciiTheme="majorEastAsia" w:hAnsiTheme="majorEastAsia" w:eastAsiaTheme="majorEastAsia"/>
                <w:sz w:val="24"/>
              </w:rPr>
              <w:t xml:space="preserve"> </w:t>
            </w:r>
            <w:r>
              <w:rPr>
                <w:rFonts w:hint="eastAsia"/>
                <w:sz w:val="24"/>
              </w:rPr>
              <w:t>—</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576103"/>
      <w:docPartObj>
        <w:docPartGallery w:val="autotext"/>
      </w:docPartObj>
    </w:sdtPr>
    <w:sdtEndPr>
      <w:rPr>
        <w:sz w:val="24"/>
      </w:rPr>
    </w:sdtEndPr>
    <w:sdtContent>
      <w:p w14:paraId="2FE85437">
        <w:pPr>
          <w:pStyle w:val="4"/>
          <w:ind w:left="210" w:leftChars="100" w:right="210" w:rightChars="100"/>
          <w:rPr>
            <w:sz w:val="24"/>
          </w:rPr>
        </w:pPr>
        <w:r>
          <w:rPr>
            <w:rFonts w:hint="eastAsia"/>
            <w:sz w:val="24"/>
          </w:rPr>
          <w:t xml:space="preserve">— </w:t>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PAGE   \* MERGEFORMAT</w:instrText>
        </w:r>
        <w:r>
          <w:rPr>
            <w:rFonts w:asciiTheme="majorEastAsia" w:hAnsiTheme="majorEastAsia" w:eastAsiaTheme="majorEastAsia"/>
            <w:sz w:val="24"/>
          </w:rPr>
          <w:fldChar w:fldCharType="separate"/>
        </w:r>
        <w:r>
          <w:rPr>
            <w:rFonts w:asciiTheme="majorEastAsia" w:hAnsiTheme="majorEastAsia" w:eastAsiaTheme="majorEastAsia"/>
            <w:sz w:val="24"/>
            <w:lang w:val="zh-CN"/>
          </w:rPr>
          <w:t>2</w:t>
        </w:r>
        <w:r>
          <w:rPr>
            <w:rFonts w:asciiTheme="majorEastAsia" w:hAnsiTheme="majorEastAsia" w:eastAsiaTheme="majorEastAsia"/>
            <w:sz w:val="24"/>
          </w:rPr>
          <w:fldChar w:fldCharType="end"/>
        </w:r>
        <w:r>
          <w:rPr>
            <w:rFonts w:hint="eastAsia" w:asciiTheme="majorEastAsia" w:hAnsiTheme="majorEastAsia" w:eastAsiaTheme="majorEastAsia"/>
            <w:sz w:val="24"/>
          </w:rPr>
          <w:t xml:space="preserve"> </w:t>
        </w:r>
        <w:r>
          <w:rPr>
            <w:rFonts w:hint="eastAsia"/>
            <w:sz w:val="24"/>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480E"/>
    <w:multiLevelType w:val="singleLevel"/>
    <w:tmpl w:val="D0CE480E"/>
    <w:lvl w:ilvl="0" w:tentative="0">
      <w:start w:val="1"/>
      <w:numFmt w:val="chineseCounting"/>
      <w:suff w:val="nothing"/>
      <w:lvlText w:val="（%1）"/>
      <w:lvlJc w:val="left"/>
      <w:rPr>
        <w:rFonts w:hint="eastAsia"/>
      </w:rPr>
    </w:lvl>
  </w:abstractNum>
  <w:abstractNum w:abstractNumId="1">
    <w:nsid w:val="FFF6CC0E"/>
    <w:multiLevelType w:val="singleLevel"/>
    <w:tmpl w:val="FFF6CC0E"/>
    <w:lvl w:ilvl="0" w:tentative="0">
      <w:start w:val="1"/>
      <w:numFmt w:val="chineseCounting"/>
      <w:suff w:val="nothing"/>
      <w:lvlText w:val="（%1）"/>
      <w:lvlJc w:val="left"/>
      <w:rPr>
        <w:rFonts w:hint="eastAsia" w:ascii="楷体" w:hAnsi="楷体" w:eastAsia="楷体" w:cs="楷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N2UzMGEzYzNmNzg1YzUyNjJlMmU2Y2UxMTc5NjEifQ=="/>
  </w:docVars>
  <w:rsids>
    <w:rsidRoot w:val="00DB2C43"/>
    <w:rsid w:val="001179A7"/>
    <w:rsid w:val="009234BC"/>
    <w:rsid w:val="00DB2C43"/>
    <w:rsid w:val="00E65B25"/>
    <w:rsid w:val="0276682A"/>
    <w:rsid w:val="033912AA"/>
    <w:rsid w:val="04C4434A"/>
    <w:rsid w:val="06A028C0"/>
    <w:rsid w:val="08D46F04"/>
    <w:rsid w:val="0B1B0F97"/>
    <w:rsid w:val="0B9E726E"/>
    <w:rsid w:val="14973836"/>
    <w:rsid w:val="17800EAB"/>
    <w:rsid w:val="18970461"/>
    <w:rsid w:val="19DD63EF"/>
    <w:rsid w:val="1A66317D"/>
    <w:rsid w:val="1ADB2C06"/>
    <w:rsid w:val="1D2A7699"/>
    <w:rsid w:val="1DF17BB9"/>
    <w:rsid w:val="21C615B8"/>
    <w:rsid w:val="243E303D"/>
    <w:rsid w:val="294C6D37"/>
    <w:rsid w:val="2C686C25"/>
    <w:rsid w:val="2F224E2C"/>
    <w:rsid w:val="308F6535"/>
    <w:rsid w:val="3121539D"/>
    <w:rsid w:val="369E34F2"/>
    <w:rsid w:val="3B86617E"/>
    <w:rsid w:val="3BA7198A"/>
    <w:rsid w:val="3EF42DC7"/>
    <w:rsid w:val="3FD37144"/>
    <w:rsid w:val="406C7A85"/>
    <w:rsid w:val="451727B4"/>
    <w:rsid w:val="46742F59"/>
    <w:rsid w:val="49C069D3"/>
    <w:rsid w:val="49C45F18"/>
    <w:rsid w:val="4B7E383A"/>
    <w:rsid w:val="4E7F6521"/>
    <w:rsid w:val="4F436329"/>
    <w:rsid w:val="4FC84128"/>
    <w:rsid w:val="502A4B6D"/>
    <w:rsid w:val="54120B01"/>
    <w:rsid w:val="5415441A"/>
    <w:rsid w:val="5AE40D1D"/>
    <w:rsid w:val="5D1244D4"/>
    <w:rsid w:val="5EE25574"/>
    <w:rsid w:val="5F5423C9"/>
    <w:rsid w:val="60744E3B"/>
    <w:rsid w:val="634E4519"/>
    <w:rsid w:val="63A17904"/>
    <w:rsid w:val="647B06A2"/>
    <w:rsid w:val="67014F6F"/>
    <w:rsid w:val="6748781C"/>
    <w:rsid w:val="6A71265D"/>
    <w:rsid w:val="6ACE3FD8"/>
    <w:rsid w:val="6CE00ACA"/>
    <w:rsid w:val="6D222C82"/>
    <w:rsid w:val="71BB6C92"/>
    <w:rsid w:val="729B3093"/>
    <w:rsid w:val="789F6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Date"/>
    <w:basedOn w:val="1"/>
    <w:next w:val="1"/>
    <w:link w:val="16"/>
    <w:unhideWhenUsed/>
    <w:qFormat/>
    <w:uiPriority w:val="0"/>
    <w:pPr>
      <w:ind w:firstLine="815" w:firstLineChars="200"/>
    </w:pPr>
    <w:rPr>
      <w:rFonts w:ascii="Times New Roman" w:hAnsi="Times New Roman" w:eastAsia="仿宋_GB2312" w:cs="Times New Roman"/>
      <w:sz w:val="32"/>
      <w:szCs w:val="20"/>
    </w:rPr>
  </w:style>
  <w:style w:type="paragraph" w:styleId="4">
    <w:name w:val="footer"/>
    <w:basedOn w:val="1"/>
    <w:link w:val="15"/>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22222"/>
    <w:qFormat/>
    <w:uiPriority w:val="0"/>
    <w:pPr>
      <w:spacing w:line="424" w:lineRule="atLeast"/>
      <w:ind w:left="1"/>
      <w:jc w:val="both"/>
      <w:textAlignment w:val="bottom"/>
    </w:pPr>
    <w:rPr>
      <w:rFonts w:ascii="Times New Roman" w:hAnsi="Times New Roman" w:eastAsia="宋体" w:cs="Times New Roman"/>
      <w:sz w:val="28"/>
      <w:szCs w:val="22"/>
      <w:lang w:val="en-US" w:eastAsia="zh-CN" w:bidi="ar-SA"/>
    </w:rPr>
  </w:style>
  <w:style w:type="character" w:customStyle="1" w:styleId="11">
    <w:name w:val="UserStyle_0 Char"/>
    <w:basedOn w:val="8"/>
    <w:link w:val="12"/>
    <w:autoRedefine/>
    <w:qFormat/>
    <w:uiPriority w:val="0"/>
    <w:rPr>
      <w:rFonts w:ascii="Times New Roman" w:hAnsi="Times New Roman" w:eastAsia="宋体" w:cs="Times New Roman"/>
      <w:kern w:val="2"/>
      <w:sz w:val="21"/>
      <w:szCs w:val="20"/>
      <w:lang w:val="en-US" w:eastAsia="zh-CN" w:bidi="ar-SA"/>
    </w:rPr>
  </w:style>
  <w:style w:type="paragraph" w:customStyle="1" w:styleId="12">
    <w:name w:val="UserStyle_0"/>
    <w:next w:val="13"/>
    <w:link w:val="11"/>
    <w:autoRedefine/>
    <w:qFormat/>
    <w:uiPriority w:val="0"/>
    <w:pPr>
      <w:widowControl w:val="0"/>
      <w:spacing w:after="160" w:line="240" w:lineRule="exact"/>
    </w:pPr>
    <w:rPr>
      <w:rFonts w:ascii="Times New Roman" w:hAnsi="Times New Roman" w:eastAsia="宋体" w:cs="Times New Roman"/>
      <w:kern w:val="2"/>
      <w:sz w:val="21"/>
      <w:lang w:val="en-US" w:eastAsia="zh-CN" w:bidi="ar-SA"/>
    </w:rPr>
  </w:style>
  <w:style w:type="paragraph" w:customStyle="1" w:styleId="13">
    <w:name w:val="正文首行缩进 21"/>
    <w:basedOn w:val="14"/>
    <w:next w:val="6"/>
    <w:autoRedefine/>
    <w:qFormat/>
    <w:uiPriority w:val="0"/>
    <w:pPr>
      <w:ind w:firstLine="200" w:firstLineChars="200"/>
    </w:pPr>
    <w:rPr>
      <w:szCs w:val="24"/>
    </w:rPr>
  </w:style>
  <w:style w:type="paragraph" w:customStyle="1" w:styleId="14">
    <w:name w:val="正文文本缩进1"/>
    <w:autoRedefine/>
    <w:qFormat/>
    <w:uiPriority w:val="0"/>
    <w:pPr>
      <w:widowControl w:val="0"/>
      <w:ind w:left="200" w:leftChars="200"/>
      <w:jc w:val="both"/>
    </w:pPr>
    <w:rPr>
      <w:rFonts w:ascii="Times New Roman" w:hAnsi="Times New Roman" w:eastAsia="宋体" w:cs="Times New Roman"/>
      <w:kern w:val="2"/>
      <w:sz w:val="21"/>
      <w:szCs w:val="22"/>
      <w:lang w:val="en-US" w:eastAsia="zh-CN" w:bidi="ar-SA"/>
    </w:rPr>
  </w:style>
  <w:style w:type="character" w:customStyle="1" w:styleId="15">
    <w:name w:val="页脚 Char"/>
    <w:basedOn w:val="8"/>
    <w:link w:val="4"/>
    <w:qFormat/>
    <w:uiPriority w:val="99"/>
    <w:rPr>
      <w:rFonts w:asciiTheme="minorHAnsi" w:hAnsiTheme="minorHAnsi" w:eastAsiaTheme="minorEastAsia" w:cstheme="minorBidi"/>
      <w:kern w:val="2"/>
      <w:sz w:val="18"/>
      <w:szCs w:val="24"/>
    </w:rPr>
  </w:style>
  <w:style w:type="character" w:customStyle="1" w:styleId="16">
    <w:name w:val="日期 Char"/>
    <w:link w:val="3"/>
    <w:qFormat/>
    <w:uiPriority w:val="0"/>
    <w:rPr>
      <w:rFonts w:eastAsia="仿宋_GB2312"/>
      <w:kern w:val="2"/>
      <w:sz w:val="32"/>
    </w:rPr>
  </w:style>
  <w:style w:type="character" w:customStyle="1" w:styleId="17">
    <w:name w:val="日期 Char1"/>
    <w:basedOn w:val="8"/>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440F1-7555-4C38-BDF9-38617C8147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7993</Words>
  <Characters>8128</Characters>
  <Lines>58</Lines>
  <Paragraphs>16</Paragraphs>
  <TotalTime>369</TotalTime>
  <ScaleCrop>false</ScaleCrop>
  <LinksUpToDate>false</LinksUpToDate>
  <CharactersWithSpaces>8162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2024-06-05T12:47:00Z</dcterms:created>
  <dc:creator>renjun</dc:creator>
  <cp:lastModifiedBy>Monster</cp:lastModifiedBy>
  <cp:lastPrinted>2025-12-24T07:38:00Z</cp:lastPrinted>
  <dcterms:modified xsi:type="dcterms:W3CDTF">2025-12-30T01:40:26Z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899075B1895F44AFB7B32E549B77107D_13</vt:lpwstr>
  </property>
  <property fmtid="{D5CDD505-2E9C-101B-9397-08002B2CF9AE}" pid="4" name="KSOTemplateDocerSaveRecord">
    <vt:lpwstr>eyJoZGlkIjoiNzUwOWFjMjYxYWE5ZTFhMzU0M2I4YmEwZTk2YzgxYmIiLCJ1c2VySWQiOiIyNjA1ODQ3NDkifQ==</vt:lpwstr>
  </property>
</Properties>
</file>